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B9B6F" w14:textId="77777777" w:rsidR="00405AB8" w:rsidRDefault="00405AB8" w:rsidP="00830C68">
      <w:pPr>
        <w:jc w:val="center"/>
        <w:rPr>
          <w:b/>
          <w:bCs/>
          <w:spacing w:val="0"/>
          <w:sz w:val="18"/>
          <w:szCs w:val="18"/>
        </w:rPr>
      </w:pPr>
    </w:p>
    <w:p w14:paraId="19FDB8DB" w14:textId="7DE3AE88" w:rsidR="00922FD1" w:rsidRPr="001050EA" w:rsidRDefault="00DE77A7" w:rsidP="00830C68">
      <w:pPr>
        <w:jc w:val="center"/>
        <w:rPr>
          <w:b/>
          <w:bCs/>
          <w:spacing w:val="0"/>
          <w:sz w:val="18"/>
          <w:szCs w:val="18"/>
        </w:rPr>
      </w:pPr>
      <w:r w:rsidRPr="001050EA">
        <w:rPr>
          <w:b/>
          <w:bCs/>
          <w:spacing w:val="0"/>
          <w:sz w:val="18"/>
          <w:szCs w:val="18"/>
        </w:rPr>
        <w:t xml:space="preserve">ANEXO </w:t>
      </w:r>
      <w:r w:rsidR="00F84E03" w:rsidRPr="001050EA">
        <w:rPr>
          <w:b/>
          <w:bCs/>
          <w:spacing w:val="0"/>
          <w:sz w:val="18"/>
          <w:szCs w:val="18"/>
        </w:rPr>
        <w:t>6</w:t>
      </w:r>
      <w:r w:rsidRPr="001050EA">
        <w:rPr>
          <w:b/>
          <w:bCs/>
          <w:spacing w:val="0"/>
          <w:sz w:val="18"/>
          <w:szCs w:val="18"/>
        </w:rPr>
        <w:t>. MODELOS CUANTITATIVOS</w:t>
      </w:r>
      <w:r w:rsidR="0085395C" w:rsidRPr="001050EA">
        <w:rPr>
          <w:b/>
          <w:bCs/>
          <w:spacing w:val="0"/>
          <w:sz w:val="18"/>
          <w:szCs w:val="18"/>
        </w:rPr>
        <w:t xml:space="preserve"> DE</w:t>
      </w:r>
      <w:r w:rsidRPr="001050EA">
        <w:rPr>
          <w:b/>
          <w:bCs/>
          <w:spacing w:val="0"/>
          <w:sz w:val="18"/>
          <w:szCs w:val="18"/>
        </w:rPr>
        <w:t xml:space="preserve"> RIESGO DE MERCADO</w:t>
      </w:r>
      <w:r w:rsidR="0085395C" w:rsidRPr="001050EA">
        <w:rPr>
          <w:b/>
          <w:bCs/>
          <w:spacing w:val="0"/>
          <w:sz w:val="18"/>
          <w:szCs w:val="18"/>
        </w:rPr>
        <w:t xml:space="preserve"> APLICABLES</w:t>
      </w:r>
      <w:r w:rsidRPr="001050EA">
        <w:rPr>
          <w:b/>
          <w:bCs/>
          <w:spacing w:val="0"/>
          <w:sz w:val="18"/>
          <w:szCs w:val="18"/>
        </w:rPr>
        <w:t xml:space="preserve"> </w:t>
      </w:r>
      <w:r w:rsidR="0085395C" w:rsidRPr="001050EA">
        <w:rPr>
          <w:b/>
          <w:bCs/>
          <w:spacing w:val="0"/>
          <w:sz w:val="18"/>
          <w:szCs w:val="18"/>
        </w:rPr>
        <w:t>A</w:t>
      </w:r>
      <w:r w:rsidRPr="001050EA">
        <w:rPr>
          <w:b/>
          <w:bCs/>
          <w:spacing w:val="0"/>
          <w:sz w:val="18"/>
          <w:szCs w:val="18"/>
        </w:rPr>
        <w:t xml:space="preserve"> </w:t>
      </w:r>
      <w:r w:rsidRPr="001050EA">
        <w:rPr>
          <w:b/>
          <w:spacing w:val="0"/>
          <w:sz w:val="18"/>
          <w:szCs w:val="18"/>
        </w:rPr>
        <w:t xml:space="preserve">LOS </w:t>
      </w:r>
      <w:r w:rsidR="0024376A" w:rsidRPr="001050EA">
        <w:rPr>
          <w:b/>
          <w:spacing w:val="0"/>
          <w:sz w:val="18"/>
          <w:szCs w:val="18"/>
        </w:rPr>
        <w:t>ESTABLECIMIENTOS DE CRÉDITO</w:t>
      </w:r>
      <w:r w:rsidRPr="001050EA">
        <w:rPr>
          <w:b/>
          <w:spacing w:val="0"/>
          <w:sz w:val="18"/>
          <w:szCs w:val="18"/>
        </w:rPr>
        <w:t>, LAS INSTITUCIONES OFICIALES ESPECIALES Y EL QUE SE DERIVE DE LAS OPERACIONES POR CUENTA PROPIA</w:t>
      </w:r>
      <w:r w:rsidR="0024376A" w:rsidRPr="001050EA">
        <w:rPr>
          <w:b/>
          <w:spacing w:val="0"/>
          <w:sz w:val="18"/>
          <w:szCs w:val="18"/>
        </w:rPr>
        <w:t xml:space="preserve"> Y</w:t>
      </w:r>
      <w:r w:rsidRPr="001050EA">
        <w:rPr>
          <w:b/>
          <w:spacing w:val="0"/>
          <w:sz w:val="18"/>
          <w:szCs w:val="18"/>
        </w:rPr>
        <w:t xml:space="preserve"> CON RECURSOS PROPIOS</w:t>
      </w:r>
      <w:r w:rsidR="0024376A" w:rsidRPr="001050EA">
        <w:rPr>
          <w:b/>
          <w:spacing w:val="0"/>
          <w:sz w:val="18"/>
          <w:szCs w:val="18"/>
        </w:rPr>
        <w:t xml:space="preserve"> </w:t>
      </w:r>
      <w:r w:rsidRPr="001050EA">
        <w:rPr>
          <w:b/>
          <w:spacing w:val="0"/>
          <w:sz w:val="18"/>
          <w:szCs w:val="18"/>
        </w:rPr>
        <w:t>REALIZADAS POR LAS S</w:t>
      </w:r>
      <w:r w:rsidR="0024376A" w:rsidRPr="001050EA">
        <w:rPr>
          <w:b/>
          <w:spacing w:val="0"/>
          <w:sz w:val="18"/>
          <w:szCs w:val="18"/>
        </w:rPr>
        <w:t>OCIEDADES COMISIONISTAS DE BOLSA DE VALORES</w:t>
      </w:r>
    </w:p>
    <w:p w14:paraId="35A96BDF" w14:textId="77777777" w:rsidR="00CD586D" w:rsidRPr="001050EA" w:rsidRDefault="00CD586D" w:rsidP="00830C68">
      <w:pPr>
        <w:ind w:left="1410" w:hanging="1410"/>
        <w:rPr>
          <w:b/>
          <w:bCs/>
          <w:spacing w:val="0"/>
          <w:sz w:val="18"/>
          <w:szCs w:val="18"/>
        </w:rPr>
      </w:pPr>
    </w:p>
    <w:p w14:paraId="3F9C1A56" w14:textId="77777777" w:rsidR="00DC3179" w:rsidRPr="001050EA" w:rsidRDefault="00DC3179" w:rsidP="00830C68">
      <w:pPr>
        <w:pStyle w:val="Textoindependiente"/>
        <w:rPr>
          <w:spacing w:val="0"/>
          <w:sz w:val="18"/>
          <w:szCs w:val="18"/>
        </w:rPr>
      </w:pPr>
    </w:p>
    <w:p w14:paraId="62AB244A" w14:textId="77777777" w:rsidR="00DC3179" w:rsidRPr="001050EA" w:rsidRDefault="00DC3179" w:rsidP="00830C68">
      <w:pPr>
        <w:pStyle w:val="Normal9pt"/>
        <w:numPr>
          <w:ilvl w:val="0"/>
          <w:numId w:val="19"/>
        </w:numPr>
        <w:tabs>
          <w:tab w:val="clear" w:pos="720"/>
          <w:tab w:val="num" w:pos="360"/>
        </w:tabs>
        <w:ind w:hanging="720"/>
        <w:rPr>
          <w:b/>
        </w:rPr>
      </w:pPr>
      <w:r w:rsidRPr="001050EA">
        <w:rPr>
          <w:b/>
        </w:rPr>
        <w:t>CONSIDERACIONES GENERALES</w:t>
      </w:r>
    </w:p>
    <w:p w14:paraId="5A9C1CEC" w14:textId="77777777" w:rsidR="00DC3179" w:rsidRPr="001050EA" w:rsidRDefault="00DC3179" w:rsidP="00830C68">
      <w:pPr>
        <w:pStyle w:val="Textoindependiente"/>
        <w:rPr>
          <w:spacing w:val="0"/>
          <w:sz w:val="18"/>
          <w:szCs w:val="18"/>
        </w:rPr>
      </w:pPr>
    </w:p>
    <w:p w14:paraId="320E751C" w14:textId="56164722" w:rsidR="00DC3179" w:rsidRPr="001050EA" w:rsidRDefault="00DC3179" w:rsidP="00830C68">
      <w:pPr>
        <w:pStyle w:val="Textoindependiente"/>
        <w:rPr>
          <w:spacing w:val="0"/>
          <w:sz w:val="18"/>
          <w:szCs w:val="18"/>
        </w:rPr>
      </w:pPr>
      <w:r w:rsidRPr="001050EA">
        <w:rPr>
          <w:spacing w:val="0"/>
          <w:sz w:val="18"/>
          <w:szCs w:val="18"/>
        </w:rPr>
        <w:t xml:space="preserve">En el presente Anexo se establece el </w:t>
      </w:r>
      <w:r w:rsidR="009E6AB7" w:rsidRPr="001050EA">
        <w:rPr>
          <w:spacing w:val="0"/>
          <w:sz w:val="18"/>
          <w:szCs w:val="18"/>
        </w:rPr>
        <w:t>m</w:t>
      </w:r>
      <w:r w:rsidRPr="001050EA">
        <w:rPr>
          <w:spacing w:val="0"/>
          <w:sz w:val="18"/>
          <w:szCs w:val="18"/>
        </w:rPr>
        <w:t xml:space="preserve">odelo </w:t>
      </w:r>
      <w:r w:rsidR="009E6AB7" w:rsidRPr="001050EA">
        <w:rPr>
          <w:spacing w:val="0"/>
          <w:sz w:val="18"/>
          <w:szCs w:val="18"/>
        </w:rPr>
        <w:t>e</w:t>
      </w:r>
      <w:r w:rsidRPr="001050EA">
        <w:rPr>
          <w:spacing w:val="0"/>
          <w:sz w:val="18"/>
          <w:szCs w:val="18"/>
        </w:rPr>
        <w:t xml:space="preserve">stándar para la medición de riesgos de mercado adoptado por la SFC, el cual deben emplear los </w:t>
      </w:r>
      <w:r w:rsidR="0024376A" w:rsidRPr="001050EA">
        <w:rPr>
          <w:spacing w:val="0"/>
          <w:sz w:val="18"/>
          <w:szCs w:val="18"/>
        </w:rPr>
        <w:t>EC</w:t>
      </w:r>
      <w:r w:rsidRPr="001050EA">
        <w:rPr>
          <w:spacing w:val="0"/>
          <w:sz w:val="18"/>
          <w:szCs w:val="18"/>
        </w:rPr>
        <w:t xml:space="preserve">, las </w:t>
      </w:r>
      <w:r w:rsidR="0024376A" w:rsidRPr="001050EA">
        <w:rPr>
          <w:spacing w:val="0"/>
          <w:sz w:val="18"/>
          <w:szCs w:val="18"/>
        </w:rPr>
        <w:t xml:space="preserve">IOEs </w:t>
      </w:r>
      <w:r w:rsidRPr="001050EA">
        <w:rPr>
          <w:spacing w:val="0"/>
          <w:sz w:val="18"/>
          <w:szCs w:val="18"/>
        </w:rPr>
        <w:t>y el que se derive de las operaciones por cuenta propia y con recursos propios</w:t>
      </w:r>
      <w:r w:rsidR="00F302A6" w:rsidRPr="001050EA">
        <w:rPr>
          <w:spacing w:val="0"/>
          <w:sz w:val="18"/>
          <w:szCs w:val="18"/>
        </w:rPr>
        <w:t xml:space="preserve"> realizada</w:t>
      </w:r>
      <w:r w:rsidRPr="001050EA">
        <w:rPr>
          <w:spacing w:val="0"/>
          <w:sz w:val="18"/>
          <w:szCs w:val="18"/>
        </w:rPr>
        <w:t>s por las sociedades comisionistas de bolsa de valores</w:t>
      </w:r>
      <w:r w:rsidR="0024376A" w:rsidRPr="001050EA">
        <w:rPr>
          <w:spacing w:val="0"/>
          <w:sz w:val="18"/>
          <w:szCs w:val="18"/>
        </w:rPr>
        <w:t xml:space="preserve"> SCBV</w:t>
      </w:r>
      <w:r w:rsidR="00DE77A7" w:rsidRPr="001050EA">
        <w:rPr>
          <w:spacing w:val="0"/>
          <w:sz w:val="18"/>
          <w:szCs w:val="18"/>
        </w:rPr>
        <w:t>.</w:t>
      </w:r>
    </w:p>
    <w:p w14:paraId="38AE0CB5" w14:textId="77777777" w:rsidR="00922FD1" w:rsidRPr="001050EA" w:rsidRDefault="00922FD1" w:rsidP="00830C68">
      <w:pPr>
        <w:pStyle w:val="Textoindependiente"/>
        <w:rPr>
          <w:b/>
          <w:bCs/>
          <w:spacing w:val="0"/>
          <w:sz w:val="18"/>
          <w:szCs w:val="18"/>
          <w:lang w:val="es-ES"/>
        </w:rPr>
      </w:pPr>
    </w:p>
    <w:p w14:paraId="082A54FF" w14:textId="77777777" w:rsidR="0024376A" w:rsidRPr="001050EA" w:rsidRDefault="0024376A" w:rsidP="00830C68">
      <w:pPr>
        <w:pStyle w:val="Textoindependiente"/>
        <w:rPr>
          <w:b/>
          <w:bCs/>
          <w:spacing w:val="0"/>
          <w:sz w:val="18"/>
          <w:szCs w:val="18"/>
          <w:lang w:val="es-ES"/>
        </w:rPr>
      </w:pPr>
    </w:p>
    <w:p w14:paraId="5B0B7AED" w14:textId="6EC2C654" w:rsidR="00922FD1" w:rsidRPr="001050EA" w:rsidRDefault="00922FD1" w:rsidP="00830C68">
      <w:pPr>
        <w:pStyle w:val="Normal9pt"/>
        <w:numPr>
          <w:ilvl w:val="0"/>
          <w:numId w:val="19"/>
        </w:numPr>
        <w:tabs>
          <w:tab w:val="clear" w:pos="720"/>
          <w:tab w:val="num" w:pos="360"/>
        </w:tabs>
        <w:ind w:left="0" w:firstLine="0"/>
        <w:rPr>
          <w:b/>
        </w:rPr>
      </w:pPr>
      <w:r w:rsidRPr="001050EA">
        <w:rPr>
          <w:b/>
        </w:rPr>
        <w:t>REGLAS RELATIVAS A LA APLICACIÓN DE MODELOS PARA LA MEDICI</w:t>
      </w:r>
      <w:r w:rsidR="0024376A" w:rsidRPr="001050EA">
        <w:rPr>
          <w:b/>
        </w:rPr>
        <w:t>Ó</w:t>
      </w:r>
      <w:r w:rsidRPr="001050EA">
        <w:rPr>
          <w:b/>
        </w:rPr>
        <w:t>N DE RIESGOS DE MERCADO</w:t>
      </w:r>
    </w:p>
    <w:p w14:paraId="6277AA17" w14:textId="77777777" w:rsidR="00922FD1" w:rsidRPr="001050EA" w:rsidRDefault="00922FD1" w:rsidP="00830C68">
      <w:pPr>
        <w:pStyle w:val="Normal9pt"/>
        <w:numPr>
          <w:ilvl w:val="0"/>
          <w:numId w:val="0"/>
        </w:numPr>
        <w:rPr>
          <w:b/>
          <w:bCs/>
        </w:rPr>
      </w:pPr>
    </w:p>
    <w:p w14:paraId="71A0CAFD" w14:textId="0F4BED0D" w:rsidR="00830C68" w:rsidRPr="001050EA" w:rsidRDefault="00922FD1" w:rsidP="00B346EB">
      <w:pPr>
        <w:pStyle w:val="Normal9pt"/>
        <w:numPr>
          <w:ilvl w:val="1"/>
          <w:numId w:val="36"/>
        </w:numPr>
        <w:ind w:left="0" w:firstLine="0"/>
        <w:rPr>
          <w:b/>
        </w:rPr>
      </w:pPr>
      <w:r w:rsidRPr="001050EA">
        <w:rPr>
          <w:b/>
          <w:bCs/>
        </w:rPr>
        <w:t xml:space="preserve">Reglas relativas a la medición de riesgos de mercado a través del modelo estándar para </w:t>
      </w:r>
      <w:r w:rsidR="0024376A" w:rsidRPr="001050EA">
        <w:rPr>
          <w:b/>
          <w:bCs/>
        </w:rPr>
        <w:t>EC</w:t>
      </w:r>
      <w:r w:rsidR="008917D2" w:rsidRPr="001050EA">
        <w:rPr>
          <w:b/>
          <w:bCs/>
        </w:rPr>
        <w:t xml:space="preserve">, </w:t>
      </w:r>
      <w:r w:rsidR="00A367C2" w:rsidRPr="001050EA">
        <w:rPr>
          <w:b/>
          <w:bCs/>
        </w:rPr>
        <w:t xml:space="preserve">las </w:t>
      </w:r>
      <w:r w:rsidR="0024376A" w:rsidRPr="001050EA">
        <w:rPr>
          <w:b/>
          <w:bCs/>
        </w:rPr>
        <w:t>IOEs</w:t>
      </w:r>
      <w:r w:rsidR="00A367C2" w:rsidRPr="001050EA">
        <w:rPr>
          <w:b/>
          <w:bCs/>
        </w:rPr>
        <w:t xml:space="preserve"> </w:t>
      </w:r>
      <w:r w:rsidRPr="001050EA">
        <w:rPr>
          <w:b/>
          <w:bCs/>
        </w:rPr>
        <w:t>y</w:t>
      </w:r>
      <w:r w:rsidR="00A367C2" w:rsidRPr="001050EA">
        <w:rPr>
          <w:b/>
          <w:bCs/>
        </w:rPr>
        <w:t xml:space="preserve"> </w:t>
      </w:r>
      <w:r w:rsidR="0024376A" w:rsidRPr="001050EA">
        <w:rPr>
          <w:b/>
          <w:bCs/>
        </w:rPr>
        <w:t>SCBV</w:t>
      </w:r>
    </w:p>
    <w:p w14:paraId="5D4D9CD7" w14:textId="77777777" w:rsidR="00922FD1" w:rsidRPr="001050EA" w:rsidRDefault="00922FD1" w:rsidP="00830C68">
      <w:pPr>
        <w:jc w:val="both"/>
        <w:rPr>
          <w:b/>
          <w:bCs/>
          <w:sz w:val="18"/>
          <w:szCs w:val="18"/>
          <w:lang w:val="es-MX"/>
        </w:rPr>
      </w:pPr>
    </w:p>
    <w:p w14:paraId="0586BB7A" w14:textId="16F00D05" w:rsidR="00922FD1" w:rsidRPr="001050EA" w:rsidRDefault="00922FD1" w:rsidP="00830C68">
      <w:pPr>
        <w:pStyle w:val="Textoindependiente"/>
        <w:rPr>
          <w:spacing w:val="0"/>
          <w:sz w:val="18"/>
          <w:szCs w:val="18"/>
        </w:rPr>
      </w:pPr>
      <w:r w:rsidRPr="001050EA">
        <w:rPr>
          <w:spacing w:val="0"/>
          <w:sz w:val="18"/>
          <w:szCs w:val="18"/>
        </w:rPr>
        <w:t>La metodología est</w:t>
      </w:r>
      <w:r w:rsidR="008917D2" w:rsidRPr="001050EA">
        <w:rPr>
          <w:spacing w:val="0"/>
          <w:sz w:val="18"/>
          <w:szCs w:val="18"/>
        </w:rPr>
        <w:t xml:space="preserve">andarizada se compone de </w:t>
      </w:r>
      <w:r w:rsidR="003E768E" w:rsidRPr="001050EA">
        <w:rPr>
          <w:spacing w:val="0"/>
          <w:sz w:val="18"/>
          <w:szCs w:val="18"/>
        </w:rPr>
        <w:t>5</w:t>
      </w:r>
      <w:r w:rsidRPr="001050EA">
        <w:rPr>
          <w:spacing w:val="0"/>
          <w:sz w:val="18"/>
          <w:szCs w:val="18"/>
        </w:rPr>
        <w:t xml:space="preserve"> módulos los cuales se calculan separadamente y son los siguientes:</w:t>
      </w:r>
    </w:p>
    <w:p w14:paraId="1CD2E2DB" w14:textId="77777777" w:rsidR="00922FD1" w:rsidRPr="001050EA" w:rsidRDefault="00922FD1" w:rsidP="00830C68">
      <w:pPr>
        <w:pStyle w:val="Textoindependiente"/>
        <w:rPr>
          <w:spacing w:val="0"/>
          <w:sz w:val="18"/>
          <w:szCs w:val="18"/>
        </w:rPr>
      </w:pPr>
    </w:p>
    <w:p w14:paraId="6155B37D" w14:textId="77777777" w:rsidR="00922FD1" w:rsidRPr="001050EA" w:rsidRDefault="00922FD1" w:rsidP="00830C68">
      <w:pPr>
        <w:pStyle w:val="Textoindependiente"/>
        <w:numPr>
          <w:ilvl w:val="0"/>
          <w:numId w:val="16"/>
        </w:numPr>
        <w:tabs>
          <w:tab w:val="clear" w:pos="720"/>
          <w:tab w:val="num" w:pos="284"/>
        </w:tabs>
        <w:ind w:hanging="720"/>
        <w:rPr>
          <w:spacing w:val="0"/>
          <w:sz w:val="18"/>
          <w:szCs w:val="18"/>
        </w:rPr>
      </w:pPr>
      <w:r w:rsidRPr="001050EA">
        <w:rPr>
          <w:spacing w:val="0"/>
          <w:sz w:val="18"/>
          <w:szCs w:val="18"/>
        </w:rPr>
        <w:t>Riesgo de tasa de interés.</w:t>
      </w:r>
    </w:p>
    <w:p w14:paraId="2FD3AAA3" w14:textId="77777777" w:rsidR="00922FD1" w:rsidRPr="001050EA" w:rsidRDefault="00922FD1" w:rsidP="00830C68">
      <w:pPr>
        <w:pStyle w:val="Textoindependiente"/>
        <w:numPr>
          <w:ilvl w:val="0"/>
          <w:numId w:val="16"/>
        </w:numPr>
        <w:tabs>
          <w:tab w:val="clear" w:pos="720"/>
          <w:tab w:val="num" w:pos="284"/>
        </w:tabs>
        <w:ind w:hanging="720"/>
        <w:rPr>
          <w:spacing w:val="0"/>
          <w:sz w:val="18"/>
          <w:szCs w:val="18"/>
        </w:rPr>
      </w:pPr>
      <w:r w:rsidRPr="001050EA">
        <w:rPr>
          <w:spacing w:val="0"/>
          <w:sz w:val="18"/>
          <w:szCs w:val="18"/>
        </w:rPr>
        <w:t>Riesgo de tasa de cambio.</w:t>
      </w:r>
    </w:p>
    <w:p w14:paraId="6645FC17" w14:textId="77777777" w:rsidR="00922FD1" w:rsidRPr="001050EA" w:rsidRDefault="00922FD1" w:rsidP="00830C68">
      <w:pPr>
        <w:pStyle w:val="Textoindependiente"/>
        <w:numPr>
          <w:ilvl w:val="0"/>
          <w:numId w:val="16"/>
        </w:numPr>
        <w:tabs>
          <w:tab w:val="clear" w:pos="720"/>
          <w:tab w:val="num" w:pos="284"/>
        </w:tabs>
        <w:ind w:hanging="720"/>
        <w:rPr>
          <w:spacing w:val="0"/>
          <w:sz w:val="18"/>
          <w:szCs w:val="18"/>
        </w:rPr>
      </w:pPr>
      <w:r w:rsidRPr="001050EA">
        <w:rPr>
          <w:spacing w:val="0"/>
          <w:sz w:val="18"/>
          <w:szCs w:val="18"/>
        </w:rPr>
        <w:t>Riesgo de precio de acciones.</w:t>
      </w:r>
    </w:p>
    <w:p w14:paraId="25E4E622" w14:textId="6E7C2D42" w:rsidR="00922FD1" w:rsidRPr="001050EA" w:rsidRDefault="00922FD1" w:rsidP="00830C68">
      <w:pPr>
        <w:pStyle w:val="Textoindependiente"/>
        <w:numPr>
          <w:ilvl w:val="0"/>
          <w:numId w:val="16"/>
        </w:numPr>
        <w:tabs>
          <w:tab w:val="clear" w:pos="720"/>
          <w:tab w:val="num" w:pos="284"/>
        </w:tabs>
        <w:ind w:hanging="720"/>
        <w:rPr>
          <w:spacing w:val="0"/>
          <w:sz w:val="18"/>
          <w:szCs w:val="18"/>
        </w:rPr>
      </w:pPr>
      <w:r w:rsidRPr="001050EA">
        <w:rPr>
          <w:spacing w:val="0"/>
          <w:sz w:val="18"/>
          <w:szCs w:val="18"/>
        </w:rPr>
        <w:t xml:space="preserve">Riesgo de </w:t>
      </w:r>
      <w:r w:rsidR="006E6C99" w:rsidRPr="001050EA">
        <w:rPr>
          <w:spacing w:val="0"/>
          <w:sz w:val="18"/>
          <w:szCs w:val="18"/>
        </w:rPr>
        <w:t>FICs</w:t>
      </w:r>
      <w:r w:rsidRPr="001050EA">
        <w:rPr>
          <w:spacing w:val="0"/>
          <w:sz w:val="18"/>
          <w:szCs w:val="18"/>
        </w:rPr>
        <w:t>.</w:t>
      </w:r>
    </w:p>
    <w:p w14:paraId="108BB245" w14:textId="1B7BEC9D" w:rsidR="00F86D68" w:rsidRPr="001050EA" w:rsidRDefault="00FB6CAE" w:rsidP="00830C68">
      <w:pPr>
        <w:pStyle w:val="Textoindependiente"/>
        <w:numPr>
          <w:ilvl w:val="0"/>
          <w:numId w:val="16"/>
        </w:numPr>
        <w:tabs>
          <w:tab w:val="clear" w:pos="720"/>
          <w:tab w:val="num" w:pos="284"/>
        </w:tabs>
        <w:ind w:hanging="720"/>
        <w:rPr>
          <w:spacing w:val="0"/>
          <w:sz w:val="18"/>
          <w:szCs w:val="18"/>
        </w:rPr>
      </w:pPr>
      <w:r w:rsidRPr="001050EA">
        <w:rPr>
          <w:spacing w:val="0"/>
          <w:sz w:val="18"/>
          <w:szCs w:val="18"/>
        </w:rPr>
        <w:t>Riesgos de</w:t>
      </w:r>
      <w:r w:rsidRPr="001050EA">
        <w:rPr>
          <w:i/>
          <w:iCs/>
          <w:spacing w:val="0"/>
          <w:sz w:val="18"/>
          <w:szCs w:val="18"/>
        </w:rPr>
        <w:t xml:space="preserve"> </w:t>
      </w:r>
      <w:proofErr w:type="spellStart"/>
      <w:r w:rsidRPr="001050EA">
        <w:rPr>
          <w:i/>
          <w:iCs/>
          <w:spacing w:val="0"/>
          <w:sz w:val="18"/>
          <w:szCs w:val="18"/>
        </w:rPr>
        <w:t>credit</w:t>
      </w:r>
      <w:proofErr w:type="spellEnd"/>
      <w:r w:rsidRPr="001050EA">
        <w:rPr>
          <w:i/>
          <w:iCs/>
          <w:spacing w:val="0"/>
          <w:sz w:val="18"/>
          <w:szCs w:val="18"/>
        </w:rPr>
        <w:t xml:space="preserve"> default swap </w:t>
      </w:r>
      <w:r w:rsidRPr="001050EA">
        <w:rPr>
          <w:spacing w:val="0"/>
          <w:sz w:val="18"/>
          <w:szCs w:val="18"/>
        </w:rPr>
        <w:t>(CDS)</w:t>
      </w:r>
      <w:r w:rsidR="00D732A5">
        <w:rPr>
          <w:spacing w:val="0"/>
          <w:sz w:val="18"/>
          <w:szCs w:val="18"/>
        </w:rPr>
        <w:t>.</w:t>
      </w:r>
    </w:p>
    <w:p w14:paraId="595D6FC8" w14:textId="77777777" w:rsidR="00922FD1" w:rsidRPr="001050EA" w:rsidRDefault="00922FD1" w:rsidP="00830C68">
      <w:pPr>
        <w:pStyle w:val="Textoindependiente"/>
        <w:rPr>
          <w:sz w:val="18"/>
          <w:szCs w:val="18"/>
          <w:lang w:val="es-ES_tradnl"/>
        </w:rPr>
      </w:pPr>
    </w:p>
    <w:p w14:paraId="709625CB" w14:textId="77777777" w:rsidR="00922FD1" w:rsidRPr="001050EA" w:rsidRDefault="00922FD1" w:rsidP="00830C68">
      <w:pPr>
        <w:pStyle w:val="Textoindependiente"/>
        <w:rPr>
          <w:spacing w:val="0"/>
          <w:sz w:val="18"/>
          <w:szCs w:val="18"/>
        </w:rPr>
      </w:pPr>
      <w:r w:rsidRPr="001050EA">
        <w:rPr>
          <w:spacing w:val="0"/>
          <w:sz w:val="18"/>
          <w:szCs w:val="18"/>
        </w:rPr>
        <w:t>Para obtener la exposición total a riesgos de mercado los resultados de estos módulos se deben agregar aritméticamente.</w:t>
      </w:r>
    </w:p>
    <w:p w14:paraId="4B34CA4A" w14:textId="77777777" w:rsidR="00922FD1" w:rsidRPr="001050EA" w:rsidRDefault="00922FD1" w:rsidP="00830C68">
      <w:pPr>
        <w:pStyle w:val="Textoindependiente"/>
        <w:rPr>
          <w:spacing w:val="0"/>
          <w:sz w:val="18"/>
          <w:szCs w:val="18"/>
        </w:rPr>
      </w:pPr>
    </w:p>
    <w:p w14:paraId="4341684D" w14:textId="165F3C2C" w:rsidR="00922FD1" w:rsidRPr="001050EA" w:rsidRDefault="00922FD1" w:rsidP="00830C68">
      <w:pPr>
        <w:pStyle w:val="Textoindependiente"/>
        <w:rPr>
          <w:spacing w:val="0"/>
          <w:sz w:val="18"/>
          <w:szCs w:val="18"/>
        </w:rPr>
      </w:pPr>
      <w:r w:rsidRPr="001050EA">
        <w:rPr>
          <w:spacing w:val="0"/>
          <w:sz w:val="18"/>
          <w:szCs w:val="18"/>
        </w:rPr>
        <w:t>Para los módulos de tasa de interés y de acciones, se toman en cuenta únicamente las posiciones del libro de tesorería. En el caso del módulo de tasa de cambio se incluyen también las posiciones del libro bancario.</w:t>
      </w:r>
    </w:p>
    <w:p w14:paraId="5E9411EA" w14:textId="7180251B" w:rsidR="00933FAA" w:rsidRPr="001050EA" w:rsidRDefault="00933FAA" w:rsidP="00830C68">
      <w:pPr>
        <w:pStyle w:val="Textoindependiente"/>
        <w:rPr>
          <w:spacing w:val="0"/>
          <w:sz w:val="18"/>
          <w:szCs w:val="18"/>
        </w:rPr>
      </w:pPr>
    </w:p>
    <w:p w14:paraId="7AD7440C" w14:textId="77777777" w:rsidR="00933FAA" w:rsidRPr="001050EA" w:rsidRDefault="00933FAA" w:rsidP="00830C68">
      <w:pPr>
        <w:pStyle w:val="Textoindependiente"/>
        <w:rPr>
          <w:spacing w:val="0"/>
          <w:sz w:val="18"/>
          <w:szCs w:val="18"/>
        </w:rPr>
      </w:pPr>
      <w:r w:rsidRPr="001050EA">
        <w:rPr>
          <w:spacing w:val="0"/>
          <w:sz w:val="18"/>
          <w:szCs w:val="18"/>
        </w:rPr>
        <w:t>Para el cálculo del módulo de tasa de cambio, las entidades podrán excluir el valor de la porción descubierta de sus inversiones controladas en el exterior, de las posiciones del libro bancario. Para el efecto, la exclusión o cualquier cambio en el monto excluido requerirá de la aprobación previa de la junta directiva, debidamente sustentada.</w:t>
      </w:r>
    </w:p>
    <w:p w14:paraId="2F5A6870" w14:textId="77777777" w:rsidR="00933FAA" w:rsidRPr="001050EA" w:rsidRDefault="00933FAA" w:rsidP="00830C68">
      <w:pPr>
        <w:pStyle w:val="Textoindependiente"/>
        <w:rPr>
          <w:spacing w:val="0"/>
          <w:sz w:val="18"/>
          <w:szCs w:val="18"/>
        </w:rPr>
      </w:pPr>
    </w:p>
    <w:p w14:paraId="3A654FB4" w14:textId="4C47C2B0" w:rsidR="00933FAA" w:rsidRPr="001050EA" w:rsidRDefault="00933FAA" w:rsidP="00830C68">
      <w:pPr>
        <w:pStyle w:val="Textoindependiente"/>
        <w:rPr>
          <w:spacing w:val="0"/>
          <w:sz w:val="18"/>
          <w:szCs w:val="18"/>
        </w:rPr>
      </w:pPr>
      <w:r w:rsidRPr="001050EA">
        <w:rPr>
          <w:spacing w:val="0"/>
          <w:sz w:val="18"/>
          <w:szCs w:val="18"/>
        </w:rPr>
        <w:t xml:space="preserve">Dicha decisión debe ser informada a la </w:t>
      </w:r>
      <w:r w:rsidR="00D97AD3" w:rsidRPr="001050EA">
        <w:rPr>
          <w:spacing w:val="0"/>
          <w:sz w:val="18"/>
          <w:szCs w:val="18"/>
        </w:rPr>
        <w:t>SFC</w:t>
      </w:r>
      <w:r w:rsidRPr="001050EA">
        <w:rPr>
          <w:spacing w:val="0"/>
          <w:sz w:val="18"/>
          <w:szCs w:val="18"/>
        </w:rPr>
        <w:t xml:space="preserve"> dentro de los 10 días comunes siguientes a su aprobación, indicando la fecha en la cual tendrá efecto la decisión.</w:t>
      </w:r>
    </w:p>
    <w:p w14:paraId="5BAF7D03" w14:textId="77777777" w:rsidR="00933FAA" w:rsidRPr="001050EA" w:rsidRDefault="00933FAA" w:rsidP="00830C68">
      <w:pPr>
        <w:pStyle w:val="Textoindependiente"/>
        <w:rPr>
          <w:spacing w:val="0"/>
          <w:sz w:val="18"/>
          <w:szCs w:val="18"/>
        </w:rPr>
      </w:pPr>
    </w:p>
    <w:p w14:paraId="765BC702" w14:textId="6A8B0745" w:rsidR="00933FAA" w:rsidRPr="001050EA" w:rsidRDefault="00933FAA" w:rsidP="00830C68">
      <w:pPr>
        <w:pStyle w:val="Textoindependiente"/>
        <w:rPr>
          <w:spacing w:val="0"/>
          <w:sz w:val="18"/>
          <w:szCs w:val="18"/>
        </w:rPr>
      </w:pPr>
      <w:r w:rsidRPr="001050EA">
        <w:rPr>
          <w:spacing w:val="0"/>
          <w:sz w:val="18"/>
          <w:szCs w:val="18"/>
        </w:rPr>
        <w:t>La exclusión debe cumplir con las siguientes condiciones:</w:t>
      </w:r>
    </w:p>
    <w:p w14:paraId="39EE9FA6" w14:textId="77777777" w:rsidR="00933FAA" w:rsidRPr="001050EA" w:rsidRDefault="00933FAA" w:rsidP="00830C68">
      <w:pPr>
        <w:pStyle w:val="Textoindependiente"/>
        <w:rPr>
          <w:spacing w:val="0"/>
          <w:sz w:val="18"/>
          <w:szCs w:val="18"/>
        </w:rPr>
      </w:pPr>
    </w:p>
    <w:p w14:paraId="5EFEEE1F" w14:textId="7E1C3C64" w:rsidR="00B346EB" w:rsidRPr="001050EA" w:rsidRDefault="00933FAA" w:rsidP="00E768CA">
      <w:pPr>
        <w:pStyle w:val="Textoindependiente"/>
        <w:numPr>
          <w:ilvl w:val="0"/>
          <w:numId w:val="37"/>
        </w:numPr>
        <w:ind w:left="284" w:hanging="284"/>
        <w:rPr>
          <w:spacing w:val="0"/>
          <w:sz w:val="18"/>
          <w:szCs w:val="18"/>
        </w:rPr>
      </w:pPr>
      <w:r w:rsidRPr="001050EA">
        <w:rPr>
          <w:spacing w:val="0"/>
          <w:sz w:val="18"/>
          <w:szCs w:val="18"/>
        </w:rPr>
        <w:t>El monto definido por la entidad para la exclusión no puede exceder la diferencia entre:</w:t>
      </w:r>
    </w:p>
    <w:p w14:paraId="5740E738" w14:textId="77777777" w:rsidR="00933FAA" w:rsidRPr="001050EA" w:rsidRDefault="00933FAA" w:rsidP="00830C68">
      <w:pPr>
        <w:pStyle w:val="Textoindependiente"/>
        <w:rPr>
          <w:spacing w:val="0"/>
          <w:sz w:val="18"/>
          <w:szCs w:val="18"/>
        </w:rPr>
      </w:pPr>
    </w:p>
    <w:p w14:paraId="6FF33BEA" w14:textId="3A025116" w:rsidR="00933FAA" w:rsidRPr="001050EA" w:rsidRDefault="00CE190C" w:rsidP="00405AB8">
      <w:pPr>
        <w:pStyle w:val="Textoindependiente"/>
        <w:numPr>
          <w:ilvl w:val="0"/>
          <w:numId w:val="40"/>
        </w:numPr>
        <w:ind w:left="567" w:hanging="349"/>
        <w:rPr>
          <w:spacing w:val="0"/>
          <w:sz w:val="18"/>
          <w:szCs w:val="18"/>
        </w:rPr>
      </w:pPr>
      <w:r w:rsidRPr="001050EA">
        <w:rPr>
          <w:spacing w:val="0"/>
          <w:sz w:val="18"/>
          <w:szCs w:val="18"/>
        </w:rPr>
        <w:t>E</w:t>
      </w:r>
      <w:r w:rsidR="00933FAA" w:rsidRPr="001050EA">
        <w:rPr>
          <w:spacing w:val="0"/>
          <w:sz w:val="18"/>
          <w:szCs w:val="18"/>
        </w:rPr>
        <w:t>l valor de las inversiones controladas en el exterior, incluyendo cualquier concepto que pueda modificar dicho valor como el crédito mercantil, las valorizaciones y las ganancias o pérdidas, entre otros, con independencia del código contable que estén utilizando para el reporte de los mismos. Para el efecto, el monto del crédito mercantil deberá incluirse tomando el valor que tenía al momento en que se generó, descontando los ajustes por deterioro, en la moneda en que está estipulada la inversión; y</w:t>
      </w:r>
    </w:p>
    <w:p w14:paraId="614E616A" w14:textId="77777777" w:rsidR="00933FAA" w:rsidRPr="001050EA" w:rsidRDefault="00933FAA" w:rsidP="00405AB8">
      <w:pPr>
        <w:pStyle w:val="Textoindependiente"/>
        <w:ind w:left="567" w:hanging="349"/>
        <w:rPr>
          <w:spacing w:val="0"/>
          <w:sz w:val="18"/>
          <w:szCs w:val="18"/>
        </w:rPr>
      </w:pPr>
    </w:p>
    <w:p w14:paraId="16FBFE72" w14:textId="0737DAC5" w:rsidR="00933FAA" w:rsidRPr="001050EA" w:rsidRDefault="00CE190C" w:rsidP="00405AB8">
      <w:pPr>
        <w:pStyle w:val="Textoindependiente"/>
        <w:numPr>
          <w:ilvl w:val="0"/>
          <w:numId w:val="40"/>
        </w:numPr>
        <w:ind w:left="567" w:hanging="349"/>
        <w:rPr>
          <w:spacing w:val="0"/>
          <w:sz w:val="18"/>
          <w:szCs w:val="18"/>
        </w:rPr>
      </w:pPr>
      <w:r w:rsidRPr="001050EA">
        <w:rPr>
          <w:spacing w:val="0"/>
          <w:sz w:val="18"/>
          <w:szCs w:val="18"/>
        </w:rPr>
        <w:t>E</w:t>
      </w:r>
      <w:r w:rsidR="00933FAA" w:rsidRPr="001050EA">
        <w:rPr>
          <w:spacing w:val="0"/>
          <w:sz w:val="18"/>
          <w:szCs w:val="18"/>
        </w:rPr>
        <w:t>l valor de los derivados y demás obligaciones designadas por el órgano competente de la entidad como instrumentos de cobertura de las inversiones controladas en el exterior, en cumplimiento de los requisitos de la contabilidad de coberturas de las NIIF, siempre que estos pasivos estén en la misma moneda en que está estipulada la inversión controlada en el exterior. El valor de estos pasivos no puede, en ningún caso, exceder el valor total actual de las inversiones controladas en el exterior, de tal forma que la exclusión no podrá ser una posición neta negativa.</w:t>
      </w:r>
    </w:p>
    <w:p w14:paraId="5C5D1435" w14:textId="77777777" w:rsidR="00933FAA" w:rsidRPr="001050EA" w:rsidRDefault="00933FAA" w:rsidP="00830C68">
      <w:pPr>
        <w:pStyle w:val="Textoindependiente"/>
        <w:rPr>
          <w:spacing w:val="0"/>
          <w:sz w:val="18"/>
          <w:szCs w:val="18"/>
        </w:rPr>
      </w:pPr>
    </w:p>
    <w:p w14:paraId="79DD2951" w14:textId="6B93111B" w:rsidR="00933FAA" w:rsidRPr="001050EA" w:rsidRDefault="00933FAA" w:rsidP="00E768CA">
      <w:pPr>
        <w:pStyle w:val="Textoindependiente"/>
        <w:ind w:left="426" w:hanging="426"/>
        <w:rPr>
          <w:spacing w:val="0"/>
          <w:sz w:val="18"/>
          <w:szCs w:val="18"/>
        </w:rPr>
      </w:pPr>
      <w:r w:rsidRPr="001050EA">
        <w:rPr>
          <w:spacing w:val="0"/>
          <w:sz w:val="18"/>
          <w:szCs w:val="18"/>
        </w:rPr>
        <w:t xml:space="preserve">b. </w:t>
      </w:r>
      <w:r w:rsidR="00E768CA" w:rsidRPr="001050EA">
        <w:rPr>
          <w:spacing w:val="0"/>
          <w:sz w:val="18"/>
          <w:szCs w:val="18"/>
        </w:rPr>
        <w:t xml:space="preserve">  </w:t>
      </w:r>
      <w:r w:rsidRPr="001050EA">
        <w:rPr>
          <w:spacing w:val="0"/>
          <w:sz w:val="18"/>
          <w:szCs w:val="18"/>
        </w:rPr>
        <w:t>La exclusión del cálculo debe mantenerse al menos por un periodo de 6 meses.</w:t>
      </w:r>
    </w:p>
    <w:p w14:paraId="3486F021" w14:textId="77777777" w:rsidR="00933FAA" w:rsidRPr="001050EA" w:rsidRDefault="00933FAA" w:rsidP="00830C68">
      <w:pPr>
        <w:pStyle w:val="Textoindependiente"/>
        <w:rPr>
          <w:spacing w:val="0"/>
          <w:sz w:val="18"/>
          <w:szCs w:val="18"/>
        </w:rPr>
      </w:pPr>
    </w:p>
    <w:p w14:paraId="37B6E473" w14:textId="1ACA3077" w:rsidR="00933FAA" w:rsidRPr="001050EA" w:rsidRDefault="00933FAA" w:rsidP="00E768CA">
      <w:pPr>
        <w:pStyle w:val="Textoindependiente"/>
        <w:ind w:left="284" w:hanging="284"/>
        <w:rPr>
          <w:spacing w:val="0"/>
          <w:sz w:val="18"/>
          <w:szCs w:val="18"/>
        </w:rPr>
      </w:pPr>
      <w:r w:rsidRPr="001050EA">
        <w:rPr>
          <w:spacing w:val="0"/>
          <w:sz w:val="18"/>
          <w:szCs w:val="18"/>
        </w:rPr>
        <w:t xml:space="preserve">c. </w:t>
      </w:r>
      <w:r w:rsidR="00E768CA" w:rsidRPr="001050EA">
        <w:rPr>
          <w:spacing w:val="0"/>
          <w:sz w:val="18"/>
          <w:szCs w:val="18"/>
        </w:rPr>
        <w:t xml:space="preserve">  </w:t>
      </w:r>
      <w:r w:rsidRPr="001050EA">
        <w:rPr>
          <w:spacing w:val="0"/>
          <w:sz w:val="18"/>
          <w:szCs w:val="18"/>
        </w:rPr>
        <w:t>Cuando la entidad planee liquidar parcial o totalmente la inversión controlada en el exterior, deberá incluir en el cálculo del módulo de tasa de cambio, el valor de esta con una antelación mínima de 6 meses.</w:t>
      </w:r>
    </w:p>
    <w:p w14:paraId="3F4B2FA2" w14:textId="77777777" w:rsidR="00922FD1" w:rsidRPr="001050EA" w:rsidRDefault="00922FD1" w:rsidP="00830C68">
      <w:pPr>
        <w:pStyle w:val="Textoindependiente"/>
        <w:rPr>
          <w:b/>
          <w:bCs/>
          <w:spacing w:val="0"/>
          <w:sz w:val="18"/>
          <w:szCs w:val="18"/>
        </w:rPr>
      </w:pPr>
    </w:p>
    <w:p w14:paraId="426F35A4" w14:textId="1E3F0B60" w:rsidR="00922FD1" w:rsidRPr="001050EA" w:rsidRDefault="00922FD1" w:rsidP="00830C68">
      <w:pPr>
        <w:pStyle w:val="Textoindependiente"/>
        <w:numPr>
          <w:ilvl w:val="2"/>
          <w:numId w:val="3"/>
        </w:numPr>
        <w:rPr>
          <w:bCs/>
          <w:spacing w:val="0"/>
          <w:sz w:val="18"/>
          <w:szCs w:val="18"/>
        </w:rPr>
      </w:pPr>
      <w:r w:rsidRPr="001050EA">
        <w:rPr>
          <w:bCs/>
          <w:spacing w:val="0"/>
          <w:sz w:val="18"/>
          <w:szCs w:val="18"/>
        </w:rPr>
        <w:t>Tratamiento de las posiciones en derivados y otras operaciones</w:t>
      </w:r>
    </w:p>
    <w:p w14:paraId="3F699B9C" w14:textId="77777777" w:rsidR="00922FD1" w:rsidRPr="001050EA" w:rsidRDefault="00922FD1" w:rsidP="00830C68">
      <w:pPr>
        <w:pStyle w:val="Textoindependiente"/>
        <w:rPr>
          <w:b/>
          <w:bCs/>
          <w:spacing w:val="0"/>
          <w:sz w:val="18"/>
          <w:szCs w:val="18"/>
        </w:rPr>
      </w:pPr>
    </w:p>
    <w:p w14:paraId="51839101" w14:textId="015EC470" w:rsidR="00922FD1" w:rsidRPr="001050EA" w:rsidRDefault="00A64C93" w:rsidP="00830C68">
      <w:pPr>
        <w:pStyle w:val="Textoindependiente"/>
        <w:rPr>
          <w:spacing w:val="0"/>
          <w:sz w:val="18"/>
          <w:szCs w:val="18"/>
        </w:rPr>
      </w:pPr>
      <w:r w:rsidRPr="001050EA">
        <w:rPr>
          <w:spacing w:val="0"/>
          <w:sz w:val="18"/>
          <w:szCs w:val="18"/>
        </w:rPr>
        <w:t>Las posiciones</w:t>
      </w:r>
      <w:r w:rsidR="00922FD1" w:rsidRPr="001050EA">
        <w:rPr>
          <w:spacing w:val="0"/>
          <w:sz w:val="18"/>
          <w:szCs w:val="18"/>
        </w:rPr>
        <w:t xml:space="preserve"> en instrumentos derivados y en operaciones de repo o reporto, en operaciones simultáneas y en operaciones de transferencia temporal de valores </w:t>
      </w:r>
      <w:r w:rsidR="006E7CC1" w:rsidRPr="001050EA">
        <w:rPr>
          <w:spacing w:val="0"/>
          <w:sz w:val="18"/>
          <w:szCs w:val="18"/>
        </w:rPr>
        <w:t>deben ser</w:t>
      </w:r>
      <w:r w:rsidR="00922FD1" w:rsidRPr="001050EA">
        <w:rPr>
          <w:spacing w:val="0"/>
          <w:sz w:val="18"/>
          <w:szCs w:val="18"/>
        </w:rPr>
        <w:t xml:space="preserve"> tenid</w:t>
      </w:r>
      <w:r w:rsidR="006E7CC1" w:rsidRPr="001050EA">
        <w:rPr>
          <w:spacing w:val="0"/>
          <w:sz w:val="18"/>
          <w:szCs w:val="18"/>
        </w:rPr>
        <w:t>o</w:t>
      </w:r>
      <w:r w:rsidR="00922FD1" w:rsidRPr="001050EA">
        <w:rPr>
          <w:spacing w:val="0"/>
          <w:sz w:val="18"/>
          <w:szCs w:val="18"/>
        </w:rPr>
        <w:t xml:space="preserve">s en cuenta para el cálculo de los requerimientos de capital en cada uno de los módulos </w:t>
      </w:r>
      <w:r w:rsidRPr="001050EA">
        <w:rPr>
          <w:spacing w:val="0"/>
          <w:sz w:val="18"/>
          <w:szCs w:val="18"/>
        </w:rPr>
        <w:t>de acuerdo con</w:t>
      </w:r>
      <w:r w:rsidR="00922FD1" w:rsidRPr="001050EA">
        <w:rPr>
          <w:spacing w:val="0"/>
          <w:sz w:val="18"/>
          <w:szCs w:val="18"/>
        </w:rPr>
        <w:t xml:space="preserve"> las condiciones señaladas a continuación.</w:t>
      </w:r>
    </w:p>
    <w:p w14:paraId="3F5EAB54" w14:textId="77777777" w:rsidR="00922FD1" w:rsidRPr="001050EA" w:rsidRDefault="00922FD1" w:rsidP="00830C68">
      <w:pPr>
        <w:pStyle w:val="Textoindependiente"/>
        <w:rPr>
          <w:bCs/>
          <w:spacing w:val="0"/>
          <w:sz w:val="18"/>
          <w:szCs w:val="18"/>
        </w:rPr>
      </w:pPr>
    </w:p>
    <w:p w14:paraId="2DDF98CC" w14:textId="6AA6DB7C" w:rsidR="00922FD1" w:rsidRPr="001050EA" w:rsidRDefault="00922FD1" w:rsidP="00830C68">
      <w:pPr>
        <w:pStyle w:val="Textoindependiente"/>
        <w:numPr>
          <w:ilvl w:val="3"/>
          <w:numId w:val="3"/>
        </w:numPr>
        <w:rPr>
          <w:bCs/>
          <w:spacing w:val="0"/>
          <w:sz w:val="18"/>
          <w:szCs w:val="18"/>
        </w:rPr>
      </w:pPr>
      <w:r w:rsidRPr="001050EA">
        <w:rPr>
          <w:bCs/>
          <w:spacing w:val="0"/>
          <w:sz w:val="18"/>
          <w:szCs w:val="18"/>
        </w:rPr>
        <w:lastRenderedPageBreak/>
        <w:t>Posiciones en derivados</w:t>
      </w:r>
    </w:p>
    <w:p w14:paraId="75F5976F" w14:textId="77777777" w:rsidR="00922FD1" w:rsidRPr="001050EA" w:rsidRDefault="00922FD1" w:rsidP="00830C68">
      <w:pPr>
        <w:pStyle w:val="Textoindependiente"/>
        <w:rPr>
          <w:b/>
          <w:bCs/>
          <w:spacing w:val="0"/>
          <w:sz w:val="18"/>
          <w:szCs w:val="18"/>
        </w:rPr>
      </w:pPr>
    </w:p>
    <w:p w14:paraId="69BF688B" w14:textId="1B50E39D" w:rsidR="00922FD1" w:rsidRPr="001050EA" w:rsidRDefault="00922FD1" w:rsidP="00830C68">
      <w:pPr>
        <w:pStyle w:val="Textoindependiente"/>
        <w:rPr>
          <w:spacing w:val="0"/>
          <w:sz w:val="18"/>
          <w:szCs w:val="18"/>
        </w:rPr>
      </w:pPr>
      <w:r w:rsidRPr="001050EA">
        <w:rPr>
          <w:spacing w:val="0"/>
          <w:sz w:val="18"/>
          <w:szCs w:val="18"/>
        </w:rPr>
        <w:t>Para su inclusión en los cálculos del cargo de capital del presente numeral, los instrumentos derivados deberán ser convertidos en posiciones de los instrumentos subyacentes correspondientes. Los montos reportados corresponderán al valor de mercado de las posiciones nocionales reportadas. A continuación</w:t>
      </w:r>
      <w:r w:rsidR="00B346EB" w:rsidRPr="001050EA">
        <w:rPr>
          <w:spacing w:val="0"/>
          <w:sz w:val="18"/>
          <w:szCs w:val="18"/>
        </w:rPr>
        <w:t>,</w:t>
      </w:r>
      <w:r w:rsidRPr="001050EA">
        <w:rPr>
          <w:spacing w:val="0"/>
          <w:sz w:val="18"/>
          <w:szCs w:val="18"/>
        </w:rPr>
        <w:t xml:space="preserve"> se presentan </w:t>
      </w:r>
      <w:r w:rsidR="002E56E0" w:rsidRPr="001050EA">
        <w:rPr>
          <w:spacing w:val="0"/>
          <w:sz w:val="18"/>
          <w:szCs w:val="18"/>
        </w:rPr>
        <w:t xml:space="preserve">las </w:t>
      </w:r>
      <w:r w:rsidRPr="001050EA">
        <w:rPr>
          <w:spacing w:val="0"/>
          <w:sz w:val="18"/>
          <w:szCs w:val="18"/>
        </w:rPr>
        <w:t>instrucciones referentes al tratamiento de algunos instrumentos específicos.</w:t>
      </w:r>
    </w:p>
    <w:p w14:paraId="6F1A9A00" w14:textId="77777777" w:rsidR="00922FD1" w:rsidRPr="001050EA" w:rsidRDefault="00922FD1" w:rsidP="00830C68">
      <w:pPr>
        <w:jc w:val="both"/>
        <w:rPr>
          <w:sz w:val="18"/>
          <w:szCs w:val="18"/>
          <w:lang w:val="es-ES_tradnl"/>
        </w:rPr>
      </w:pPr>
    </w:p>
    <w:p w14:paraId="6A92D55A" w14:textId="0938D0AF" w:rsidR="00922FD1" w:rsidRPr="001050EA" w:rsidRDefault="00922FD1" w:rsidP="00830C68">
      <w:pPr>
        <w:pStyle w:val="Textoindependiente"/>
        <w:numPr>
          <w:ilvl w:val="0"/>
          <w:numId w:val="1"/>
        </w:numPr>
        <w:tabs>
          <w:tab w:val="clear" w:pos="720"/>
          <w:tab w:val="num" w:pos="426"/>
        </w:tabs>
        <w:ind w:hanging="720"/>
        <w:rPr>
          <w:spacing w:val="0"/>
          <w:sz w:val="18"/>
          <w:szCs w:val="18"/>
        </w:rPr>
      </w:pPr>
      <w:r w:rsidRPr="001050EA">
        <w:rPr>
          <w:spacing w:val="0"/>
          <w:sz w:val="18"/>
          <w:szCs w:val="18"/>
        </w:rPr>
        <w:t>Futuros y Forwards sobre tasa de interés</w:t>
      </w:r>
      <w:r w:rsidR="002E56E0" w:rsidRPr="001050EA">
        <w:rPr>
          <w:spacing w:val="0"/>
          <w:sz w:val="18"/>
          <w:szCs w:val="18"/>
        </w:rPr>
        <w:t>.</w:t>
      </w:r>
    </w:p>
    <w:p w14:paraId="1E0FD881" w14:textId="77777777" w:rsidR="00922FD1" w:rsidRPr="001050EA" w:rsidRDefault="00922FD1" w:rsidP="00830C68">
      <w:pPr>
        <w:pStyle w:val="Textoindependiente"/>
        <w:rPr>
          <w:spacing w:val="0"/>
          <w:sz w:val="18"/>
          <w:szCs w:val="18"/>
        </w:rPr>
      </w:pPr>
    </w:p>
    <w:p w14:paraId="60F19B89" w14:textId="7646E925" w:rsidR="00922FD1" w:rsidRPr="001050EA" w:rsidRDefault="00922FD1" w:rsidP="00830C68">
      <w:pPr>
        <w:pStyle w:val="Textoindependiente"/>
        <w:rPr>
          <w:spacing w:val="0"/>
          <w:sz w:val="18"/>
          <w:szCs w:val="18"/>
        </w:rPr>
      </w:pPr>
      <w:r w:rsidRPr="001050EA">
        <w:rPr>
          <w:spacing w:val="0"/>
          <w:sz w:val="18"/>
          <w:szCs w:val="18"/>
        </w:rPr>
        <w:t>Estos instrumentos debe</w:t>
      </w:r>
      <w:r w:rsidR="002E56E0" w:rsidRPr="001050EA">
        <w:rPr>
          <w:spacing w:val="0"/>
          <w:sz w:val="18"/>
          <w:szCs w:val="18"/>
        </w:rPr>
        <w:t>n</w:t>
      </w:r>
      <w:r w:rsidRPr="001050EA">
        <w:rPr>
          <w:spacing w:val="0"/>
          <w:sz w:val="18"/>
          <w:szCs w:val="18"/>
        </w:rPr>
        <w:t xml:space="preserve"> ser tratados como </w:t>
      </w:r>
      <w:r w:rsidR="008917D2" w:rsidRPr="001050EA">
        <w:rPr>
          <w:spacing w:val="0"/>
          <w:sz w:val="18"/>
          <w:szCs w:val="18"/>
        </w:rPr>
        <w:t>2</w:t>
      </w:r>
      <w:r w:rsidRPr="001050EA">
        <w:rPr>
          <w:spacing w:val="0"/>
          <w:sz w:val="18"/>
          <w:szCs w:val="18"/>
        </w:rPr>
        <w:t xml:space="preserve"> posiciones nocionales en bonos cero cupón.</w:t>
      </w:r>
    </w:p>
    <w:p w14:paraId="03EB6555" w14:textId="77777777" w:rsidR="00CB2B82" w:rsidRPr="001050EA" w:rsidRDefault="00CB2B82" w:rsidP="00830C68">
      <w:pPr>
        <w:pStyle w:val="Textoindependiente"/>
        <w:rPr>
          <w:spacing w:val="0"/>
          <w:sz w:val="18"/>
          <w:szCs w:val="18"/>
        </w:rPr>
      </w:pPr>
    </w:p>
    <w:p w14:paraId="2FE8CC55" w14:textId="77777777" w:rsidR="008917D2" w:rsidRPr="001050EA" w:rsidRDefault="008917D2" w:rsidP="00830C68">
      <w:pPr>
        <w:pStyle w:val="Textoindependiente"/>
        <w:rPr>
          <w:spacing w:val="0"/>
          <w:sz w:val="18"/>
          <w:szCs w:val="18"/>
        </w:rPr>
      </w:pPr>
      <w:r w:rsidRPr="001050EA">
        <w:rPr>
          <w:spacing w:val="0"/>
          <w:sz w:val="18"/>
          <w:szCs w:val="18"/>
        </w:rPr>
        <w:t>Cuando la entidad vigilada vende un futuro sobre una tasa de interés o compra un forward sobre tasa de interés, es decir, que se compromete a pagar una tasa de interés durante un periodo de tiempo en el futuro, esta posición se descompone en:</w:t>
      </w:r>
    </w:p>
    <w:p w14:paraId="10F3B27F" w14:textId="77777777" w:rsidR="008917D2" w:rsidRPr="001050EA" w:rsidRDefault="008917D2" w:rsidP="00830C68">
      <w:pPr>
        <w:pStyle w:val="Textoindependiente"/>
        <w:rPr>
          <w:spacing w:val="0"/>
          <w:sz w:val="18"/>
          <w:szCs w:val="18"/>
        </w:rPr>
      </w:pPr>
    </w:p>
    <w:p w14:paraId="70136EE7" w14:textId="6B066F97" w:rsidR="008917D2" w:rsidRPr="001050EA" w:rsidRDefault="00F27596" w:rsidP="002E56E0">
      <w:pPr>
        <w:pStyle w:val="Textoindependiente"/>
        <w:ind w:left="567" w:hanging="283"/>
        <w:rPr>
          <w:spacing w:val="0"/>
          <w:sz w:val="18"/>
          <w:szCs w:val="18"/>
        </w:rPr>
      </w:pPr>
      <w:r w:rsidRPr="001050EA">
        <w:rPr>
          <w:spacing w:val="0"/>
          <w:sz w:val="18"/>
          <w:szCs w:val="18"/>
        </w:rPr>
        <w:t>i</w:t>
      </w:r>
      <w:r w:rsidR="00464A5F" w:rsidRPr="001050EA">
        <w:rPr>
          <w:spacing w:val="0"/>
          <w:sz w:val="18"/>
          <w:szCs w:val="18"/>
        </w:rPr>
        <w:t xml:space="preserve">. </w:t>
      </w:r>
      <w:r w:rsidR="002E56E0" w:rsidRPr="001050EA">
        <w:rPr>
          <w:spacing w:val="0"/>
          <w:sz w:val="18"/>
          <w:szCs w:val="18"/>
        </w:rPr>
        <w:t xml:space="preserve">  </w:t>
      </w:r>
      <w:r w:rsidR="008917D2" w:rsidRPr="001050EA">
        <w:rPr>
          <w:spacing w:val="0"/>
          <w:sz w:val="18"/>
          <w:szCs w:val="18"/>
        </w:rPr>
        <w:t>Una posición nocional corta en un bono cero cupón con madurez residual igual al tiempo que resta hasta el inicio del contrato más el periodo efectivo de pago de la tasa de interés.</w:t>
      </w:r>
    </w:p>
    <w:p w14:paraId="11F4BD3E" w14:textId="77777777" w:rsidR="00F27596" w:rsidRPr="001050EA" w:rsidRDefault="00F27596" w:rsidP="002E56E0">
      <w:pPr>
        <w:pStyle w:val="Textoindependiente"/>
        <w:ind w:left="567" w:hanging="283"/>
        <w:rPr>
          <w:spacing w:val="0"/>
          <w:sz w:val="18"/>
          <w:szCs w:val="18"/>
        </w:rPr>
      </w:pPr>
    </w:p>
    <w:p w14:paraId="349279AC" w14:textId="58C46255" w:rsidR="008917D2" w:rsidRPr="001050EA" w:rsidRDefault="00F27596" w:rsidP="002E56E0">
      <w:pPr>
        <w:pStyle w:val="Textoindependiente"/>
        <w:ind w:left="567" w:hanging="283"/>
        <w:rPr>
          <w:spacing w:val="0"/>
          <w:sz w:val="18"/>
          <w:szCs w:val="18"/>
        </w:rPr>
      </w:pPr>
      <w:proofErr w:type="spellStart"/>
      <w:r w:rsidRPr="001050EA">
        <w:rPr>
          <w:spacing w:val="0"/>
          <w:sz w:val="18"/>
          <w:szCs w:val="18"/>
        </w:rPr>
        <w:t>ii</w:t>
      </w:r>
      <w:proofErr w:type="spellEnd"/>
      <w:r w:rsidR="002F74D9" w:rsidRPr="001050EA">
        <w:rPr>
          <w:spacing w:val="0"/>
          <w:sz w:val="18"/>
          <w:szCs w:val="18"/>
        </w:rPr>
        <w:t xml:space="preserve">. </w:t>
      </w:r>
      <w:r w:rsidR="002E56E0" w:rsidRPr="001050EA">
        <w:rPr>
          <w:spacing w:val="0"/>
          <w:sz w:val="18"/>
          <w:szCs w:val="18"/>
        </w:rPr>
        <w:t xml:space="preserve">  </w:t>
      </w:r>
      <w:r w:rsidR="008917D2" w:rsidRPr="001050EA">
        <w:rPr>
          <w:spacing w:val="0"/>
          <w:sz w:val="18"/>
          <w:szCs w:val="18"/>
        </w:rPr>
        <w:t>Una posición nocional larga en un bono cero cupón con madurez residual igual al tiempo que resta hasta el inicio del contrato.</w:t>
      </w:r>
    </w:p>
    <w:p w14:paraId="725288BC" w14:textId="77777777" w:rsidR="008917D2" w:rsidRPr="001050EA" w:rsidRDefault="008917D2" w:rsidP="00830C68">
      <w:pPr>
        <w:pStyle w:val="Textoindependiente"/>
        <w:rPr>
          <w:spacing w:val="0"/>
          <w:sz w:val="18"/>
          <w:szCs w:val="18"/>
        </w:rPr>
      </w:pPr>
    </w:p>
    <w:p w14:paraId="6354788D" w14:textId="77777777" w:rsidR="008917D2" w:rsidRPr="001050EA" w:rsidRDefault="008917D2" w:rsidP="00830C68">
      <w:pPr>
        <w:pStyle w:val="Textoindependiente"/>
        <w:rPr>
          <w:spacing w:val="0"/>
          <w:sz w:val="18"/>
          <w:szCs w:val="18"/>
        </w:rPr>
      </w:pPr>
      <w:r w:rsidRPr="001050EA">
        <w:rPr>
          <w:spacing w:val="0"/>
          <w:sz w:val="18"/>
          <w:szCs w:val="18"/>
        </w:rPr>
        <w:t>Para el caso contrario (la entidad compra un futuro o vende un FRA), la primera posición nocional descrita es larga y la segunda corta.</w:t>
      </w:r>
    </w:p>
    <w:p w14:paraId="3AA19490" w14:textId="77777777" w:rsidR="008917D2" w:rsidRPr="001050EA" w:rsidRDefault="008917D2" w:rsidP="00830C68">
      <w:pPr>
        <w:pStyle w:val="Textoindependiente"/>
        <w:rPr>
          <w:spacing w:val="0"/>
          <w:sz w:val="18"/>
          <w:szCs w:val="18"/>
        </w:rPr>
      </w:pPr>
    </w:p>
    <w:p w14:paraId="63CD1BE5" w14:textId="789B1C8E" w:rsidR="0074071A" w:rsidRPr="001050EA" w:rsidRDefault="0074071A" w:rsidP="00830C68">
      <w:pPr>
        <w:pStyle w:val="Textoindependiente"/>
        <w:rPr>
          <w:spacing w:val="0"/>
          <w:sz w:val="18"/>
          <w:szCs w:val="18"/>
        </w:rPr>
      </w:pPr>
      <w:r w:rsidRPr="001050EA">
        <w:rPr>
          <w:spacing w:val="0"/>
          <w:sz w:val="18"/>
          <w:szCs w:val="18"/>
        </w:rPr>
        <w:t>Para efectos de los futuros y forwards sobre variaciones de índices no accionarios les será aplicable lo establecido en el presente literal (i.e. futuro sobre inflación).</w:t>
      </w:r>
    </w:p>
    <w:p w14:paraId="4EB41A40" w14:textId="77777777" w:rsidR="0074071A" w:rsidRPr="001050EA" w:rsidRDefault="0074071A" w:rsidP="00830C68">
      <w:pPr>
        <w:pStyle w:val="Textoindependiente"/>
        <w:rPr>
          <w:spacing w:val="0"/>
          <w:sz w:val="18"/>
          <w:szCs w:val="18"/>
        </w:rPr>
      </w:pPr>
    </w:p>
    <w:p w14:paraId="6E5FDEF7" w14:textId="16A00308" w:rsidR="0074071A" w:rsidRPr="001050EA" w:rsidRDefault="0074071A" w:rsidP="00CB2B82">
      <w:pPr>
        <w:pStyle w:val="Textoindependiente"/>
        <w:numPr>
          <w:ilvl w:val="0"/>
          <w:numId w:val="1"/>
        </w:numPr>
        <w:tabs>
          <w:tab w:val="clear" w:pos="720"/>
          <w:tab w:val="num" w:pos="426"/>
        </w:tabs>
        <w:ind w:hanging="720"/>
        <w:rPr>
          <w:spacing w:val="0"/>
          <w:sz w:val="18"/>
          <w:szCs w:val="18"/>
        </w:rPr>
      </w:pPr>
      <w:r w:rsidRPr="001050EA">
        <w:rPr>
          <w:spacing w:val="0"/>
          <w:sz w:val="18"/>
          <w:szCs w:val="18"/>
        </w:rPr>
        <w:t>Futuros, Forwards y Operaciones a Plazo sobre títulos de deuda</w:t>
      </w:r>
    </w:p>
    <w:p w14:paraId="6EF9A223" w14:textId="77777777" w:rsidR="0074071A" w:rsidRPr="001050EA" w:rsidRDefault="0074071A" w:rsidP="00830C68">
      <w:pPr>
        <w:pStyle w:val="Textoindependiente"/>
        <w:rPr>
          <w:spacing w:val="0"/>
          <w:sz w:val="18"/>
          <w:szCs w:val="18"/>
        </w:rPr>
      </w:pPr>
    </w:p>
    <w:p w14:paraId="79CE1505" w14:textId="572DBF3C" w:rsidR="0074071A" w:rsidRPr="001050EA" w:rsidRDefault="0074071A" w:rsidP="00830C68">
      <w:pPr>
        <w:pStyle w:val="Textoindependiente"/>
        <w:rPr>
          <w:spacing w:val="0"/>
          <w:sz w:val="18"/>
          <w:szCs w:val="18"/>
        </w:rPr>
      </w:pPr>
      <w:r w:rsidRPr="001050EA">
        <w:rPr>
          <w:spacing w:val="0"/>
          <w:sz w:val="18"/>
          <w:szCs w:val="18"/>
        </w:rPr>
        <w:t xml:space="preserve">Estos instrumentos deben ser tratados como 2 posiciones nocionales, una en el título subyacente y otra en un bono cero cupón. Cuando la entidad tenga una posición larga en las operaciones de </w:t>
      </w:r>
      <w:r w:rsidR="0024376A" w:rsidRPr="001050EA">
        <w:rPr>
          <w:spacing w:val="0"/>
          <w:sz w:val="18"/>
          <w:szCs w:val="18"/>
        </w:rPr>
        <w:t>qué</w:t>
      </w:r>
      <w:r w:rsidRPr="001050EA">
        <w:rPr>
          <w:spacing w:val="0"/>
          <w:sz w:val="18"/>
          <w:szCs w:val="18"/>
        </w:rPr>
        <w:t xml:space="preserve"> trata el presente literal (es decir que se compromete a comprar un título a un precio previamente establecido en un punto de tiempo en el futuro), esta posición se descompone en:</w:t>
      </w:r>
    </w:p>
    <w:p w14:paraId="720947D7" w14:textId="77777777" w:rsidR="008917D2" w:rsidRPr="001050EA" w:rsidRDefault="008917D2" w:rsidP="00830C68">
      <w:pPr>
        <w:pStyle w:val="Textoindependiente"/>
        <w:rPr>
          <w:spacing w:val="0"/>
          <w:sz w:val="18"/>
          <w:szCs w:val="18"/>
        </w:rPr>
      </w:pPr>
    </w:p>
    <w:p w14:paraId="6915FA04" w14:textId="77777777" w:rsidR="008917D2" w:rsidRPr="001050EA" w:rsidRDefault="0074071A" w:rsidP="005C63EF">
      <w:pPr>
        <w:pStyle w:val="Textoindependiente"/>
        <w:numPr>
          <w:ilvl w:val="0"/>
          <w:numId w:val="22"/>
        </w:numPr>
        <w:tabs>
          <w:tab w:val="clear" w:pos="1068"/>
          <w:tab w:val="num" w:pos="567"/>
        </w:tabs>
        <w:ind w:left="567" w:hanging="283"/>
        <w:rPr>
          <w:spacing w:val="0"/>
          <w:sz w:val="18"/>
          <w:szCs w:val="18"/>
        </w:rPr>
      </w:pPr>
      <w:r w:rsidRPr="001050EA">
        <w:rPr>
          <w:spacing w:val="0"/>
          <w:sz w:val="18"/>
          <w:szCs w:val="18"/>
        </w:rPr>
        <w:t>Una posición nocional larga en el título subyacente.</w:t>
      </w:r>
    </w:p>
    <w:p w14:paraId="31670E55" w14:textId="46C822B7" w:rsidR="0074071A" w:rsidRPr="001050EA" w:rsidRDefault="0074071A" w:rsidP="005C63EF">
      <w:pPr>
        <w:pStyle w:val="Textoindependiente"/>
        <w:numPr>
          <w:ilvl w:val="0"/>
          <w:numId w:val="22"/>
        </w:numPr>
        <w:tabs>
          <w:tab w:val="clear" w:pos="1068"/>
          <w:tab w:val="num" w:pos="567"/>
        </w:tabs>
        <w:ind w:left="567" w:hanging="283"/>
        <w:rPr>
          <w:spacing w:val="0"/>
          <w:sz w:val="18"/>
          <w:szCs w:val="18"/>
        </w:rPr>
      </w:pPr>
      <w:r w:rsidRPr="001050EA">
        <w:rPr>
          <w:spacing w:val="0"/>
          <w:sz w:val="18"/>
          <w:szCs w:val="18"/>
        </w:rPr>
        <w:t>Una posición nocional corta en un bono cero cupón con madur</w:t>
      </w:r>
      <w:r w:rsidR="008917D2" w:rsidRPr="001050EA">
        <w:rPr>
          <w:spacing w:val="0"/>
          <w:sz w:val="18"/>
          <w:szCs w:val="18"/>
        </w:rPr>
        <w:t xml:space="preserve">ez residual igual al tiempo que </w:t>
      </w:r>
      <w:r w:rsidRPr="001050EA">
        <w:rPr>
          <w:spacing w:val="0"/>
          <w:sz w:val="18"/>
          <w:szCs w:val="18"/>
        </w:rPr>
        <w:t xml:space="preserve">resta para el cumplimiento del contrato (el valor nominal de </w:t>
      </w:r>
      <w:r w:rsidR="0024376A" w:rsidRPr="001050EA">
        <w:rPr>
          <w:spacing w:val="0"/>
          <w:sz w:val="18"/>
          <w:szCs w:val="18"/>
        </w:rPr>
        <w:t>esta</w:t>
      </w:r>
      <w:r w:rsidRPr="001050EA">
        <w:rPr>
          <w:spacing w:val="0"/>
          <w:sz w:val="18"/>
          <w:szCs w:val="18"/>
        </w:rPr>
        <w:t xml:space="preserve"> posición corresponde al precio pactado).</w:t>
      </w:r>
    </w:p>
    <w:p w14:paraId="06E892D6" w14:textId="77777777" w:rsidR="002F74D9" w:rsidRPr="001050EA" w:rsidRDefault="002F74D9" w:rsidP="00830C68">
      <w:pPr>
        <w:pStyle w:val="Textoindependiente"/>
        <w:rPr>
          <w:spacing w:val="0"/>
          <w:sz w:val="18"/>
          <w:szCs w:val="18"/>
        </w:rPr>
      </w:pPr>
    </w:p>
    <w:p w14:paraId="599D94E4" w14:textId="77777777" w:rsidR="0074071A" w:rsidRPr="001050EA" w:rsidRDefault="0074071A" w:rsidP="00830C68">
      <w:pPr>
        <w:pStyle w:val="Textoindependiente"/>
        <w:rPr>
          <w:spacing w:val="0"/>
          <w:sz w:val="18"/>
          <w:szCs w:val="18"/>
        </w:rPr>
      </w:pPr>
      <w:r w:rsidRPr="001050EA">
        <w:rPr>
          <w:spacing w:val="0"/>
          <w:sz w:val="18"/>
          <w:szCs w:val="18"/>
        </w:rPr>
        <w:t>Para el caso contrario (posición corta en el futuro, el forward o la operación a plazo), la primera posición nocional descrita es corta y la segunda larga.</w:t>
      </w:r>
    </w:p>
    <w:p w14:paraId="0D65C9A5" w14:textId="77777777" w:rsidR="0074071A" w:rsidRPr="001050EA" w:rsidRDefault="0074071A" w:rsidP="00830C68">
      <w:pPr>
        <w:pStyle w:val="Textoindependiente"/>
        <w:rPr>
          <w:spacing w:val="0"/>
          <w:sz w:val="18"/>
          <w:szCs w:val="18"/>
        </w:rPr>
      </w:pPr>
    </w:p>
    <w:p w14:paraId="14F5781D" w14:textId="77777777" w:rsidR="0074071A" w:rsidRPr="001050EA" w:rsidRDefault="0074071A" w:rsidP="00830C68">
      <w:pPr>
        <w:pStyle w:val="Textoindependiente"/>
        <w:rPr>
          <w:spacing w:val="0"/>
          <w:sz w:val="18"/>
          <w:szCs w:val="18"/>
        </w:rPr>
      </w:pPr>
      <w:r w:rsidRPr="001050EA">
        <w:rPr>
          <w:spacing w:val="0"/>
          <w:sz w:val="18"/>
          <w:szCs w:val="18"/>
        </w:rPr>
        <w:t>Cuando el título subyacente de la operación esté denominado en una moneda distinta a la legal, la primera posición nocional descrita deberá ser clasificada en la escalera de duraciones modificadas respectiva y adicionalmente deberá ser tenida en cuenta para calcular la exposición al riesgo de tasa de cambio.</w:t>
      </w:r>
    </w:p>
    <w:p w14:paraId="280DBAB7" w14:textId="77777777" w:rsidR="0074071A" w:rsidRPr="001050EA" w:rsidRDefault="0074071A" w:rsidP="00830C68">
      <w:pPr>
        <w:pStyle w:val="Textoindependiente"/>
        <w:rPr>
          <w:spacing w:val="0"/>
          <w:sz w:val="18"/>
          <w:szCs w:val="18"/>
        </w:rPr>
      </w:pPr>
    </w:p>
    <w:p w14:paraId="31C0D194" w14:textId="792C0980" w:rsidR="0074071A" w:rsidRPr="001050EA" w:rsidRDefault="0074071A" w:rsidP="00830C68">
      <w:pPr>
        <w:pStyle w:val="Textoindependiente"/>
        <w:rPr>
          <w:spacing w:val="0"/>
          <w:sz w:val="18"/>
          <w:szCs w:val="18"/>
        </w:rPr>
      </w:pPr>
      <w:r w:rsidRPr="001050EA">
        <w:rPr>
          <w:spacing w:val="0"/>
          <w:sz w:val="18"/>
          <w:szCs w:val="18"/>
        </w:rPr>
        <w:t xml:space="preserve">En el caso de los futuros sobre bonos nocionales que se negocien en la Bolsa de Valores de Colombia, la posición nocional larga de que trata el presente literal será calculada cómo el cociente entre el valor a precios de mercado del </w:t>
      </w:r>
      <w:proofErr w:type="spellStart"/>
      <w:r w:rsidRPr="001050EA">
        <w:rPr>
          <w:i/>
          <w:spacing w:val="0"/>
          <w:sz w:val="18"/>
          <w:szCs w:val="18"/>
        </w:rPr>
        <w:t>cheapest</w:t>
      </w:r>
      <w:proofErr w:type="spellEnd"/>
      <w:r w:rsidRPr="001050EA">
        <w:rPr>
          <w:i/>
          <w:spacing w:val="0"/>
          <w:sz w:val="18"/>
          <w:szCs w:val="18"/>
        </w:rPr>
        <w:t xml:space="preserve"> </w:t>
      </w:r>
      <w:proofErr w:type="spellStart"/>
      <w:r w:rsidRPr="001050EA">
        <w:rPr>
          <w:i/>
          <w:spacing w:val="0"/>
          <w:sz w:val="18"/>
          <w:szCs w:val="18"/>
        </w:rPr>
        <w:t>to</w:t>
      </w:r>
      <w:proofErr w:type="spellEnd"/>
      <w:r w:rsidRPr="001050EA">
        <w:rPr>
          <w:i/>
          <w:spacing w:val="0"/>
          <w:sz w:val="18"/>
          <w:szCs w:val="18"/>
        </w:rPr>
        <w:t xml:space="preserve"> </w:t>
      </w:r>
      <w:proofErr w:type="spellStart"/>
      <w:r w:rsidRPr="001050EA">
        <w:rPr>
          <w:i/>
          <w:spacing w:val="0"/>
          <w:sz w:val="18"/>
          <w:szCs w:val="18"/>
        </w:rPr>
        <w:t>deliver</w:t>
      </w:r>
      <w:proofErr w:type="spellEnd"/>
      <w:r w:rsidR="00C165F0" w:rsidRPr="001050EA">
        <w:rPr>
          <w:spacing w:val="0"/>
          <w:sz w:val="18"/>
          <w:szCs w:val="18"/>
        </w:rPr>
        <w:t xml:space="preserve"> </w:t>
      </w:r>
      <w:r w:rsidRPr="001050EA">
        <w:rPr>
          <w:spacing w:val="0"/>
          <w:sz w:val="18"/>
          <w:szCs w:val="18"/>
        </w:rPr>
        <w:t xml:space="preserve">a la fecha de valoración respectiva y el factor de conversión definido por la Bolsa de Valores de Colombia. </w:t>
      </w:r>
    </w:p>
    <w:p w14:paraId="4D34DF1A" w14:textId="77777777" w:rsidR="0074071A" w:rsidRPr="001050EA" w:rsidRDefault="0074071A" w:rsidP="00830C68">
      <w:pPr>
        <w:pStyle w:val="Textoindependiente"/>
        <w:rPr>
          <w:spacing w:val="0"/>
          <w:sz w:val="18"/>
          <w:szCs w:val="18"/>
        </w:rPr>
      </w:pPr>
    </w:p>
    <w:p w14:paraId="005FB51A" w14:textId="77777777" w:rsidR="0074071A" w:rsidRPr="001050EA" w:rsidRDefault="0074071A" w:rsidP="00830C68">
      <w:pPr>
        <w:pStyle w:val="Textoindependiente"/>
        <w:rPr>
          <w:spacing w:val="0"/>
          <w:sz w:val="18"/>
          <w:szCs w:val="18"/>
        </w:rPr>
      </w:pPr>
      <w:r w:rsidRPr="001050EA">
        <w:rPr>
          <w:spacing w:val="0"/>
          <w:sz w:val="18"/>
          <w:szCs w:val="18"/>
        </w:rPr>
        <w:t>Para este tipo de futuros, la posición nocional corta se definirá de acuerdo con las instrucciones señaladas en el presente literal.</w:t>
      </w:r>
    </w:p>
    <w:p w14:paraId="72B352F3" w14:textId="77777777" w:rsidR="0074071A" w:rsidRPr="001050EA" w:rsidRDefault="0074071A" w:rsidP="00830C68">
      <w:pPr>
        <w:pStyle w:val="Textoindependiente"/>
        <w:rPr>
          <w:spacing w:val="0"/>
          <w:sz w:val="18"/>
          <w:szCs w:val="18"/>
        </w:rPr>
      </w:pPr>
    </w:p>
    <w:p w14:paraId="6482306F" w14:textId="1EE8925D" w:rsidR="0074071A" w:rsidRPr="001050EA" w:rsidRDefault="0074071A" w:rsidP="00CB2B82">
      <w:pPr>
        <w:pStyle w:val="Textoindependiente"/>
        <w:numPr>
          <w:ilvl w:val="0"/>
          <w:numId w:val="1"/>
        </w:numPr>
        <w:tabs>
          <w:tab w:val="clear" w:pos="720"/>
          <w:tab w:val="num" w:pos="426"/>
        </w:tabs>
        <w:ind w:hanging="720"/>
        <w:rPr>
          <w:spacing w:val="0"/>
          <w:sz w:val="18"/>
          <w:szCs w:val="18"/>
        </w:rPr>
      </w:pPr>
      <w:r w:rsidRPr="001050EA">
        <w:rPr>
          <w:spacing w:val="0"/>
          <w:sz w:val="18"/>
          <w:szCs w:val="18"/>
        </w:rPr>
        <w:t>Futuros, Forwards y Operaciones a Plazo sobre divisas</w:t>
      </w:r>
    </w:p>
    <w:p w14:paraId="7188F9CC" w14:textId="77777777" w:rsidR="0074071A" w:rsidRPr="001050EA" w:rsidRDefault="0074071A" w:rsidP="00830C68">
      <w:pPr>
        <w:pStyle w:val="Textoindependiente"/>
        <w:rPr>
          <w:spacing w:val="0"/>
          <w:sz w:val="18"/>
          <w:szCs w:val="18"/>
        </w:rPr>
      </w:pPr>
    </w:p>
    <w:p w14:paraId="2EE40165" w14:textId="4B9C693F" w:rsidR="008917D2" w:rsidRPr="001050EA" w:rsidRDefault="00150528" w:rsidP="00830C68">
      <w:pPr>
        <w:pStyle w:val="Textoindependiente"/>
        <w:rPr>
          <w:spacing w:val="0"/>
          <w:sz w:val="18"/>
          <w:szCs w:val="18"/>
        </w:rPr>
      </w:pPr>
      <w:r w:rsidRPr="001050EA">
        <w:rPr>
          <w:spacing w:val="0"/>
          <w:sz w:val="18"/>
          <w:szCs w:val="18"/>
        </w:rPr>
        <w:t>Estos instrumentos debe</w:t>
      </w:r>
      <w:r w:rsidR="0074071A" w:rsidRPr="001050EA">
        <w:rPr>
          <w:spacing w:val="0"/>
          <w:sz w:val="18"/>
          <w:szCs w:val="18"/>
        </w:rPr>
        <w:t>n ser tratados como 2 posiciones nocionales en bonos cero cupón en las monedas aplicables.</w:t>
      </w:r>
    </w:p>
    <w:p w14:paraId="7C1643F3" w14:textId="77777777" w:rsidR="008917D2" w:rsidRPr="001050EA" w:rsidRDefault="008917D2" w:rsidP="00830C68">
      <w:pPr>
        <w:pStyle w:val="Textoindependiente"/>
        <w:rPr>
          <w:spacing w:val="0"/>
          <w:sz w:val="18"/>
          <w:szCs w:val="18"/>
        </w:rPr>
      </w:pPr>
    </w:p>
    <w:p w14:paraId="7D39AD52" w14:textId="77777777" w:rsidR="008917D2" w:rsidRPr="001050EA" w:rsidRDefault="0074071A" w:rsidP="00C34844">
      <w:pPr>
        <w:pStyle w:val="Textoindependiente"/>
        <w:numPr>
          <w:ilvl w:val="0"/>
          <w:numId w:val="25"/>
        </w:numPr>
        <w:ind w:left="567" w:hanging="283"/>
        <w:rPr>
          <w:spacing w:val="0"/>
          <w:sz w:val="18"/>
          <w:szCs w:val="18"/>
        </w:rPr>
      </w:pPr>
      <w:r w:rsidRPr="001050EA">
        <w:rPr>
          <w:spacing w:val="0"/>
          <w:sz w:val="18"/>
          <w:szCs w:val="18"/>
        </w:rPr>
        <w:t>Una posición nocion</w:t>
      </w:r>
      <w:r w:rsidR="008917D2" w:rsidRPr="001050EA">
        <w:rPr>
          <w:spacing w:val="0"/>
          <w:sz w:val="18"/>
          <w:szCs w:val="18"/>
        </w:rPr>
        <w:t xml:space="preserve">al larga en un bono cero cupón, </w:t>
      </w:r>
      <w:r w:rsidRPr="001050EA">
        <w:rPr>
          <w:spacing w:val="0"/>
          <w:sz w:val="18"/>
          <w:szCs w:val="18"/>
        </w:rPr>
        <w:t>denominado en la moneda comprada y con una madurez residual igual al tiempo que resta para el cumplimiento del contrato.</w:t>
      </w:r>
    </w:p>
    <w:p w14:paraId="28BB204C" w14:textId="77777777" w:rsidR="0074071A" w:rsidRPr="001050EA" w:rsidRDefault="0074071A" w:rsidP="00C34844">
      <w:pPr>
        <w:pStyle w:val="Textoindependiente"/>
        <w:numPr>
          <w:ilvl w:val="0"/>
          <w:numId w:val="25"/>
        </w:numPr>
        <w:ind w:left="567" w:hanging="283"/>
        <w:rPr>
          <w:spacing w:val="0"/>
          <w:sz w:val="18"/>
          <w:szCs w:val="18"/>
        </w:rPr>
      </w:pPr>
      <w:r w:rsidRPr="001050EA">
        <w:rPr>
          <w:spacing w:val="0"/>
          <w:sz w:val="18"/>
          <w:szCs w:val="18"/>
        </w:rPr>
        <w:t>Una posición nocion</w:t>
      </w:r>
      <w:r w:rsidR="008917D2" w:rsidRPr="001050EA">
        <w:rPr>
          <w:spacing w:val="0"/>
          <w:sz w:val="18"/>
          <w:szCs w:val="18"/>
        </w:rPr>
        <w:t xml:space="preserve">al corta en un bono cero cupón, </w:t>
      </w:r>
      <w:r w:rsidRPr="001050EA">
        <w:rPr>
          <w:spacing w:val="0"/>
          <w:sz w:val="18"/>
          <w:szCs w:val="18"/>
        </w:rPr>
        <w:t>denominado en la moneda vendida y con una madurez residual igual al tiempo que resta para el cumplimiento del contrato.</w:t>
      </w:r>
    </w:p>
    <w:p w14:paraId="2DD2C0AD" w14:textId="77777777" w:rsidR="0074071A" w:rsidRPr="001050EA" w:rsidRDefault="0074071A" w:rsidP="00830C68">
      <w:pPr>
        <w:pStyle w:val="Textoindependiente"/>
        <w:rPr>
          <w:spacing w:val="0"/>
          <w:sz w:val="18"/>
          <w:szCs w:val="18"/>
        </w:rPr>
      </w:pPr>
    </w:p>
    <w:p w14:paraId="0936881D" w14:textId="0CC7886E" w:rsidR="0074071A" w:rsidRPr="001050EA" w:rsidRDefault="00150528" w:rsidP="00830C68">
      <w:pPr>
        <w:pStyle w:val="Textoindependiente"/>
        <w:rPr>
          <w:spacing w:val="0"/>
          <w:sz w:val="18"/>
          <w:szCs w:val="18"/>
        </w:rPr>
      </w:pPr>
      <w:r w:rsidRPr="001050EA">
        <w:rPr>
          <w:spacing w:val="0"/>
          <w:sz w:val="18"/>
          <w:szCs w:val="18"/>
        </w:rPr>
        <w:t>Estas posiciones debe</w:t>
      </w:r>
      <w:r w:rsidR="0074071A" w:rsidRPr="001050EA">
        <w:rPr>
          <w:spacing w:val="0"/>
          <w:sz w:val="18"/>
          <w:szCs w:val="18"/>
        </w:rPr>
        <w:t>n ser tenidas en cuenta para calcular la exposición al riesgo de tasa de cambio.</w:t>
      </w:r>
    </w:p>
    <w:p w14:paraId="0C107D28" w14:textId="77777777" w:rsidR="0074071A" w:rsidRPr="001050EA" w:rsidRDefault="0074071A" w:rsidP="00830C68">
      <w:pPr>
        <w:pStyle w:val="Textoindependiente"/>
        <w:rPr>
          <w:spacing w:val="0"/>
          <w:sz w:val="18"/>
          <w:szCs w:val="18"/>
        </w:rPr>
      </w:pPr>
    </w:p>
    <w:p w14:paraId="6F9E18FB" w14:textId="67800AD4" w:rsidR="0074071A" w:rsidRPr="001050EA" w:rsidRDefault="0074071A" w:rsidP="00CB2B82">
      <w:pPr>
        <w:pStyle w:val="Textoindependiente"/>
        <w:numPr>
          <w:ilvl w:val="0"/>
          <w:numId w:val="1"/>
        </w:numPr>
        <w:tabs>
          <w:tab w:val="clear" w:pos="720"/>
          <w:tab w:val="num" w:pos="426"/>
        </w:tabs>
        <w:ind w:hanging="720"/>
        <w:rPr>
          <w:spacing w:val="0"/>
          <w:sz w:val="18"/>
          <w:szCs w:val="18"/>
        </w:rPr>
      </w:pPr>
      <w:r w:rsidRPr="001050EA">
        <w:rPr>
          <w:spacing w:val="0"/>
          <w:sz w:val="18"/>
          <w:szCs w:val="18"/>
        </w:rPr>
        <w:t>Swaps de tasas de interés</w:t>
      </w:r>
    </w:p>
    <w:p w14:paraId="1F3150E4" w14:textId="77777777" w:rsidR="0074071A" w:rsidRPr="001050EA" w:rsidRDefault="0074071A" w:rsidP="00830C68">
      <w:pPr>
        <w:pStyle w:val="Textoindependiente"/>
        <w:rPr>
          <w:spacing w:val="0"/>
          <w:sz w:val="18"/>
          <w:szCs w:val="18"/>
        </w:rPr>
      </w:pPr>
    </w:p>
    <w:p w14:paraId="41F91079" w14:textId="3F0D94DB" w:rsidR="0074071A" w:rsidRPr="001050EA" w:rsidRDefault="00150528" w:rsidP="00830C68">
      <w:pPr>
        <w:pStyle w:val="Textoindependiente"/>
        <w:rPr>
          <w:spacing w:val="0"/>
          <w:sz w:val="18"/>
          <w:szCs w:val="18"/>
        </w:rPr>
      </w:pPr>
      <w:r w:rsidRPr="001050EA">
        <w:rPr>
          <w:spacing w:val="0"/>
          <w:sz w:val="18"/>
          <w:szCs w:val="18"/>
        </w:rPr>
        <w:t>Estos instrumentos debe</w:t>
      </w:r>
      <w:r w:rsidR="0074071A" w:rsidRPr="001050EA">
        <w:rPr>
          <w:spacing w:val="0"/>
          <w:sz w:val="18"/>
          <w:szCs w:val="18"/>
        </w:rPr>
        <w:t>n ser tratados como dos posiciones nocionales en bonos subyacentes en las tasas de interés respectivas. En este sentido la posición se descompone en:</w:t>
      </w:r>
    </w:p>
    <w:p w14:paraId="0AF9BD0A" w14:textId="77777777" w:rsidR="008917D2" w:rsidRPr="001050EA" w:rsidRDefault="008917D2" w:rsidP="00830C68">
      <w:pPr>
        <w:pStyle w:val="Textoindependiente"/>
        <w:rPr>
          <w:spacing w:val="0"/>
          <w:sz w:val="18"/>
          <w:szCs w:val="18"/>
        </w:rPr>
      </w:pPr>
    </w:p>
    <w:p w14:paraId="29D5DC43" w14:textId="77777777" w:rsidR="008917D2" w:rsidRPr="001050EA" w:rsidRDefault="0074071A" w:rsidP="00C34844">
      <w:pPr>
        <w:pStyle w:val="Textoindependiente"/>
        <w:numPr>
          <w:ilvl w:val="0"/>
          <w:numId w:val="26"/>
        </w:numPr>
        <w:ind w:left="567" w:hanging="283"/>
        <w:rPr>
          <w:spacing w:val="0"/>
          <w:sz w:val="18"/>
          <w:szCs w:val="18"/>
        </w:rPr>
      </w:pPr>
      <w:r w:rsidRPr="001050EA">
        <w:rPr>
          <w:spacing w:val="0"/>
          <w:sz w:val="18"/>
          <w:szCs w:val="18"/>
        </w:rPr>
        <w:t>Una posición nocional larga en un título pactado a la tasa de interés que recibe la entidad.</w:t>
      </w:r>
    </w:p>
    <w:p w14:paraId="0C6FAF97" w14:textId="77777777" w:rsidR="00F827C9" w:rsidRPr="001050EA" w:rsidRDefault="00F827C9" w:rsidP="00C34844">
      <w:pPr>
        <w:pStyle w:val="Textoindependiente"/>
        <w:numPr>
          <w:ilvl w:val="0"/>
          <w:numId w:val="26"/>
        </w:numPr>
        <w:ind w:left="567" w:hanging="283"/>
        <w:rPr>
          <w:spacing w:val="0"/>
          <w:sz w:val="18"/>
          <w:szCs w:val="18"/>
        </w:rPr>
      </w:pPr>
      <w:r w:rsidRPr="001050EA">
        <w:rPr>
          <w:spacing w:val="0"/>
          <w:sz w:val="18"/>
          <w:szCs w:val="18"/>
        </w:rPr>
        <w:lastRenderedPageBreak/>
        <w:t>Una posición nocional corta en un título pactado a la tasa de interés que la entidad paga.</w:t>
      </w:r>
    </w:p>
    <w:p w14:paraId="33AFDEA4" w14:textId="77777777" w:rsidR="00F827C9" w:rsidRPr="001050EA" w:rsidRDefault="00F827C9" w:rsidP="00830C68">
      <w:pPr>
        <w:pStyle w:val="Textoindependiente"/>
        <w:rPr>
          <w:spacing w:val="0"/>
          <w:sz w:val="18"/>
          <w:szCs w:val="18"/>
        </w:rPr>
      </w:pPr>
    </w:p>
    <w:p w14:paraId="7CFD088D" w14:textId="77777777" w:rsidR="00F827C9" w:rsidRPr="001050EA" w:rsidRDefault="00F827C9" w:rsidP="005A4B17">
      <w:pPr>
        <w:pStyle w:val="Textoindependiente"/>
        <w:rPr>
          <w:spacing w:val="0"/>
          <w:sz w:val="18"/>
          <w:szCs w:val="18"/>
        </w:rPr>
      </w:pPr>
      <w:r w:rsidRPr="001050EA">
        <w:rPr>
          <w:spacing w:val="0"/>
          <w:sz w:val="18"/>
          <w:szCs w:val="18"/>
        </w:rPr>
        <w:t xml:space="preserve">Cuando la tasa de interés del instrumento subyacente sea fija, la madurez residual correspondiente será igual a la duración del contrato. </w:t>
      </w:r>
    </w:p>
    <w:p w14:paraId="123DF44C" w14:textId="77777777" w:rsidR="00F827C9" w:rsidRPr="001050EA" w:rsidRDefault="00F827C9" w:rsidP="00830C68">
      <w:pPr>
        <w:pStyle w:val="Textoindependiente"/>
        <w:ind w:left="284" w:hanging="284"/>
        <w:rPr>
          <w:spacing w:val="0"/>
          <w:sz w:val="18"/>
          <w:szCs w:val="18"/>
        </w:rPr>
      </w:pPr>
    </w:p>
    <w:p w14:paraId="6DD1D0D0" w14:textId="1A6092B7" w:rsidR="00F827C9" w:rsidRPr="001050EA" w:rsidRDefault="00F827C9" w:rsidP="005A4B17">
      <w:pPr>
        <w:pStyle w:val="Textoindependiente"/>
        <w:rPr>
          <w:spacing w:val="0"/>
          <w:sz w:val="18"/>
          <w:szCs w:val="18"/>
        </w:rPr>
      </w:pPr>
      <w:r w:rsidRPr="001050EA">
        <w:rPr>
          <w:spacing w:val="0"/>
          <w:sz w:val="18"/>
          <w:szCs w:val="18"/>
        </w:rPr>
        <w:t xml:space="preserve">Para los casos en que la tasa de interés sea variable, la duración del flujo se </w:t>
      </w:r>
      <w:r w:rsidR="00E15E51" w:rsidRPr="001050EA">
        <w:rPr>
          <w:spacing w:val="0"/>
          <w:sz w:val="18"/>
          <w:szCs w:val="18"/>
        </w:rPr>
        <w:t xml:space="preserve">debe </w:t>
      </w:r>
      <w:r w:rsidRPr="001050EA">
        <w:rPr>
          <w:spacing w:val="0"/>
          <w:sz w:val="18"/>
          <w:szCs w:val="18"/>
        </w:rPr>
        <w:t xml:space="preserve">calcular </w:t>
      </w:r>
      <w:r w:rsidR="00A64C93" w:rsidRPr="001050EA">
        <w:rPr>
          <w:spacing w:val="0"/>
          <w:sz w:val="18"/>
          <w:szCs w:val="18"/>
        </w:rPr>
        <w:t>de acuerdo con</w:t>
      </w:r>
      <w:r w:rsidRPr="001050EA">
        <w:rPr>
          <w:spacing w:val="0"/>
          <w:sz w:val="18"/>
          <w:szCs w:val="18"/>
        </w:rPr>
        <w:t xml:space="preserve"> lo estipulado en el </w:t>
      </w:r>
      <w:r w:rsidR="00EB6925" w:rsidRPr="001050EA">
        <w:rPr>
          <w:spacing w:val="0"/>
          <w:sz w:val="18"/>
          <w:szCs w:val="18"/>
        </w:rPr>
        <w:t>sub</w:t>
      </w:r>
      <w:r w:rsidRPr="001050EA">
        <w:rPr>
          <w:spacing w:val="0"/>
          <w:sz w:val="18"/>
          <w:szCs w:val="18"/>
        </w:rPr>
        <w:t xml:space="preserve">numeral 2.1.2.1 del presente </w:t>
      </w:r>
      <w:r w:rsidR="00E1619C" w:rsidRPr="001050EA">
        <w:rPr>
          <w:spacing w:val="0"/>
          <w:sz w:val="18"/>
          <w:szCs w:val="18"/>
        </w:rPr>
        <w:t>Anexo</w:t>
      </w:r>
      <w:r w:rsidRPr="001050EA">
        <w:rPr>
          <w:spacing w:val="0"/>
          <w:sz w:val="18"/>
          <w:szCs w:val="18"/>
        </w:rPr>
        <w:t xml:space="preserve"> para dichas posiciones.</w:t>
      </w:r>
    </w:p>
    <w:p w14:paraId="2544A729" w14:textId="77777777" w:rsidR="00F827C9" w:rsidRPr="001050EA" w:rsidRDefault="00F827C9" w:rsidP="00830C68">
      <w:pPr>
        <w:pStyle w:val="Textoindependiente"/>
        <w:ind w:left="284" w:hanging="284"/>
        <w:rPr>
          <w:spacing w:val="0"/>
          <w:sz w:val="18"/>
          <w:szCs w:val="18"/>
        </w:rPr>
      </w:pPr>
    </w:p>
    <w:p w14:paraId="55CDA370" w14:textId="77777777" w:rsidR="00F827C9" w:rsidRPr="001050EA" w:rsidRDefault="00F827C9" w:rsidP="005A4B17">
      <w:pPr>
        <w:pStyle w:val="Textoindependiente"/>
        <w:rPr>
          <w:spacing w:val="0"/>
          <w:sz w:val="18"/>
          <w:szCs w:val="18"/>
        </w:rPr>
      </w:pPr>
      <w:r w:rsidRPr="001050EA">
        <w:rPr>
          <w:spacing w:val="0"/>
          <w:sz w:val="18"/>
          <w:szCs w:val="18"/>
        </w:rPr>
        <w:t>En el caso de swaps que involucren posiciones en distintas monedas (</w:t>
      </w:r>
      <w:proofErr w:type="spellStart"/>
      <w:r w:rsidRPr="001050EA">
        <w:rPr>
          <w:i/>
          <w:iCs/>
          <w:spacing w:val="0"/>
          <w:sz w:val="18"/>
          <w:szCs w:val="18"/>
        </w:rPr>
        <w:t>cross</w:t>
      </w:r>
      <w:proofErr w:type="spellEnd"/>
      <w:r w:rsidRPr="001050EA">
        <w:rPr>
          <w:i/>
          <w:iCs/>
          <w:spacing w:val="0"/>
          <w:sz w:val="18"/>
          <w:szCs w:val="18"/>
        </w:rPr>
        <w:t xml:space="preserve"> </w:t>
      </w:r>
      <w:proofErr w:type="spellStart"/>
      <w:r w:rsidRPr="001050EA">
        <w:rPr>
          <w:i/>
          <w:iCs/>
          <w:spacing w:val="0"/>
          <w:sz w:val="18"/>
          <w:szCs w:val="18"/>
        </w:rPr>
        <w:t>currency</w:t>
      </w:r>
      <w:proofErr w:type="spellEnd"/>
      <w:r w:rsidRPr="001050EA">
        <w:rPr>
          <w:i/>
          <w:iCs/>
          <w:spacing w:val="0"/>
          <w:sz w:val="18"/>
          <w:szCs w:val="18"/>
        </w:rPr>
        <w:t xml:space="preserve"> swaps) </w:t>
      </w:r>
      <w:r w:rsidRPr="001050EA">
        <w:rPr>
          <w:spacing w:val="0"/>
          <w:sz w:val="18"/>
          <w:szCs w:val="18"/>
        </w:rPr>
        <w:t>cada una de las posiciones deberá ser clasificada en la respectiva escalera para el cálculo del riesgo de tasa de interés y adicionalmente deberá ser tenida en cuenta para calcular la exposición al riesgo de tasa de cambio.</w:t>
      </w:r>
    </w:p>
    <w:p w14:paraId="4D03EDD5" w14:textId="77777777" w:rsidR="00F827C9" w:rsidRPr="001050EA" w:rsidRDefault="00F827C9" w:rsidP="005A4B17">
      <w:pPr>
        <w:pStyle w:val="Textoindependiente"/>
        <w:rPr>
          <w:b/>
          <w:spacing w:val="0"/>
          <w:sz w:val="18"/>
          <w:szCs w:val="18"/>
        </w:rPr>
      </w:pPr>
    </w:p>
    <w:p w14:paraId="2AC7DEAB" w14:textId="34AA976D" w:rsidR="00F827C9" w:rsidRPr="001050EA" w:rsidRDefault="00F827C9" w:rsidP="005A4B17">
      <w:pPr>
        <w:pStyle w:val="Textoindependiente"/>
        <w:rPr>
          <w:spacing w:val="0"/>
          <w:sz w:val="18"/>
          <w:szCs w:val="18"/>
        </w:rPr>
      </w:pPr>
      <w:r w:rsidRPr="001050EA">
        <w:rPr>
          <w:spacing w:val="0"/>
          <w:sz w:val="18"/>
          <w:szCs w:val="18"/>
        </w:rPr>
        <w:t xml:space="preserve">Para efectos de los futuros cuya estructura se asemeje a intercambios de flujos calculados sobre tasas de interés les aplica lo establecido en el presente literal (i.e. futuro sobre IBR). </w:t>
      </w:r>
    </w:p>
    <w:p w14:paraId="50B61B3D" w14:textId="77777777" w:rsidR="00F827C9" w:rsidRPr="001050EA" w:rsidRDefault="00F827C9" w:rsidP="00830C68">
      <w:pPr>
        <w:pStyle w:val="Textoindependiente"/>
        <w:rPr>
          <w:spacing w:val="0"/>
          <w:sz w:val="18"/>
          <w:szCs w:val="18"/>
        </w:rPr>
      </w:pPr>
    </w:p>
    <w:p w14:paraId="753FDA2F" w14:textId="721481AB" w:rsidR="00F827C9" w:rsidRPr="001050EA" w:rsidRDefault="00F827C9" w:rsidP="00CB2B82">
      <w:pPr>
        <w:pStyle w:val="Textoindependiente"/>
        <w:numPr>
          <w:ilvl w:val="0"/>
          <w:numId w:val="1"/>
        </w:numPr>
        <w:tabs>
          <w:tab w:val="clear" w:pos="720"/>
          <w:tab w:val="num" w:pos="426"/>
        </w:tabs>
        <w:ind w:hanging="720"/>
        <w:rPr>
          <w:spacing w:val="0"/>
          <w:sz w:val="18"/>
          <w:szCs w:val="18"/>
        </w:rPr>
      </w:pPr>
      <w:r w:rsidRPr="001050EA">
        <w:rPr>
          <w:spacing w:val="0"/>
          <w:sz w:val="18"/>
          <w:szCs w:val="18"/>
        </w:rPr>
        <w:t>Futuros, Forwards y Operaciones a Plazo sobre acciones (o índices de acciones)</w:t>
      </w:r>
    </w:p>
    <w:p w14:paraId="2DA233E9" w14:textId="77777777" w:rsidR="00F827C9" w:rsidRPr="001050EA" w:rsidRDefault="00F827C9" w:rsidP="00830C68">
      <w:pPr>
        <w:pStyle w:val="Textoindependiente"/>
        <w:rPr>
          <w:spacing w:val="0"/>
          <w:sz w:val="18"/>
          <w:szCs w:val="18"/>
        </w:rPr>
      </w:pPr>
    </w:p>
    <w:p w14:paraId="42AE4EC8" w14:textId="77777777" w:rsidR="00F827C9" w:rsidRPr="001050EA" w:rsidRDefault="00F827C9" w:rsidP="00830C68">
      <w:pPr>
        <w:pStyle w:val="Textoindependiente"/>
        <w:rPr>
          <w:spacing w:val="0"/>
          <w:sz w:val="18"/>
          <w:szCs w:val="18"/>
        </w:rPr>
      </w:pPr>
      <w:r w:rsidRPr="001050EA">
        <w:rPr>
          <w:spacing w:val="0"/>
          <w:sz w:val="18"/>
          <w:szCs w:val="18"/>
        </w:rPr>
        <w:t>Estas operaciones deben descomponerse en 2 posiciones nocionales, una correspondiente a la acción (o índice de acciones) subyacente y otra correspondiente a un bono cero cupón con madurez residual igual al tiempo remanente para el cumplimiento del contrato.</w:t>
      </w:r>
    </w:p>
    <w:p w14:paraId="34112008" w14:textId="77777777" w:rsidR="00F827C9" w:rsidRPr="001050EA" w:rsidRDefault="00F827C9" w:rsidP="00830C68">
      <w:pPr>
        <w:pStyle w:val="Textoindependiente"/>
        <w:rPr>
          <w:spacing w:val="0"/>
          <w:sz w:val="18"/>
          <w:szCs w:val="18"/>
        </w:rPr>
      </w:pPr>
    </w:p>
    <w:p w14:paraId="1006906D" w14:textId="77777777" w:rsidR="00F827C9" w:rsidRPr="001050EA" w:rsidRDefault="00F827C9" w:rsidP="00830C68">
      <w:pPr>
        <w:pStyle w:val="Textoindependiente"/>
        <w:rPr>
          <w:spacing w:val="0"/>
          <w:sz w:val="18"/>
          <w:szCs w:val="18"/>
        </w:rPr>
      </w:pPr>
      <w:r w:rsidRPr="001050EA">
        <w:rPr>
          <w:spacing w:val="0"/>
          <w:sz w:val="18"/>
          <w:szCs w:val="18"/>
        </w:rPr>
        <w:t>Cuando la entidad tenga una posición larga en las operaciones de que trata el presente literal (es decir que se compromete a comprar una acción o índice de acciones a un precio previamente establecido en un punto de tiempo en el futuro), esta posición se descompone en:</w:t>
      </w:r>
    </w:p>
    <w:p w14:paraId="66DF5DF1" w14:textId="77777777" w:rsidR="007957FA" w:rsidRPr="001050EA" w:rsidRDefault="007957FA" w:rsidP="00830C68">
      <w:pPr>
        <w:pStyle w:val="Textoindependiente"/>
        <w:rPr>
          <w:spacing w:val="0"/>
          <w:sz w:val="18"/>
          <w:szCs w:val="18"/>
        </w:rPr>
      </w:pPr>
    </w:p>
    <w:p w14:paraId="2223D72C" w14:textId="77777777" w:rsidR="00F827C9" w:rsidRPr="001050EA" w:rsidRDefault="00F827C9" w:rsidP="00726A83">
      <w:pPr>
        <w:pStyle w:val="Textoindependiente"/>
        <w:numPr>
          <w:ilvl w:val="0"/>
          <w:numId w:val="27"/>
        </w:numPr>
        <w:ind w:left="567" w:hanging="283"/>
        <w:rPr>
          <w:spacing w:val="0"/>
          <w:sz w:val="18"/>
          <w:szCs w:val="18"/>
        </w:rPr>
      </w:pPr>
      <w:r w:rsidRPr="001050EA">
        <w:rPr>
          <w:spacing w:val="0"/>
          <w:sz w:val="18"/>
          <w:szCs w:val="18"/>
        </w:rPr>
        <w:t>Una posición nocional larga en el título subyacente.</w:t>
      </w:r>
    </w:p>
    <w:p w14:paraId="540266AF" w14:textId="77777777" w:rsidR="00F827C9" w:rsidRPr="001050EA" w:rsidRDefault="00F827C9" w:rsidP="00726A83">
      <w:pPr>
        <w:pStyle w:val="Textoindependiente"/>
        <w:numPr>
          <w:ilvl w:val="0"/>
          <w:numId w:val="27"/>
        </w:numPr>
        <w:ind w:left="567" w:hanging="283"/>
        <w:rPr>
          <w:spacing w:val="0"/>
          <w:sz w:val="18"/>
          <w:szCs w:val="18"/>
        </w:rPr>
      </w:pPr>
      <w:r w:rsidRPr="001050EA">
        <w:rPr>
          <w:spacing w:val="0"/>
          <w:sz w:val="18"/>
          <w:szCs w:val="18"/>
        </w:rPr>
        <w:t>Una posición nocional corta en un bono cero cupón con madurez residual igual al tiempo que resta para el cumplimiento del contrato (el valor nominal de esta posición corresponde al precio pactado).</w:t>
      </w:r>
    </w:p>
    <w:p w14:paraId="7B2A2E26" w14:textId="77777777" w:rsidR="00F827C9" w:rsidRPr="001050EA" w:rsidRDefault="00F827C9" w:rsidP="00830C68">
      <w:pPr>
        <w:pStyle w:val="Textoindependiente"/>
        <w:rPr>
          <w:spacing w:val="0"/>
          <w:sz w:val="18"/>
          <w:szCs w:val="18"/>
        </w:rPr>
      </w:pPr>
    </w:p>
    <w:p w14:paraId="1C395B32" w14:textId="77777777" w:rsidR="00F827C9" w:rsidRPr="001050EA" w:rsidRDefault="00F827C9" w:rsidP="00830C68">
      <w:pPr>
        <w:pStyle w:val="Textoindependiente"/>
        <w:rPr>
          <w:spacing w:val="0"/>
          <w:sz w:val="18"/>
          <w:szCs w:val="18"/>
        </w:rPr>
      </w:pPr>
      <w:r w:rsidRPr="001050EA">
        <w:rPr>
          <w:spacing w:val="0"/>
          <w:sz w:val="18"/>
          <w:szCs w:val="18"/>
        </w:rPr>
        <w:t>Para el caso contrario (posición corta en el futuro, el forward o la operación a plazo), la primera posición nocional descrita es corta y la segunda larga.</w:t>
      </w:r>
    </w:p>
    <w:p w14:paraId="5F6C5C83" w14:textId="77777777" w:rsidR="00F827C9" w:rsidRPr="001050EA" w:rsidRDefault="00F827C9" w:rsidP="00830C68">
      <w:pPr>
        <w:pStyle w:val="Textoindependiente"/>
        <w:rPr>
          <w:spacing w:val="0"/>
          <w:sz w:val="18"/>
          <w:szCs w:val="18"/>
        </w:rPr>
      </w:pPr>
    </w:p>
    <w:p w14:paraId="5B25F524" w14:textId="77777777" w:rsidR="00F827C9" w:rsidRPr="001050EA" w:rsidRDefault="00F827C9" w:rsidP="00830C68">
      <w:pPr>
        <w:pStyle w:val="Textoindependiente"/>
        <w:rPr>
          <w:spacing w:val="0"/>
          <w:sz w:val="18"/>
          <w:szCs w:val="18"/>
        </w:rPr>
      </w:pPr>
      <w:r w:rsidRPr="001050EA">
        <w:rPr>
          <w:spacing w:val="0"/>
          <w:sz w:val="18"/>
          <w:szCs w:val="18"/>
        </w:rPr>
        <w:t>Sólo la posición en el bono cero cupón computará en el cálculo de riesgo de tasa de interés. La posición en acciones será incluida en el módulo de Riesgo de precio de</w:t>
      </w:r>
      <w:r w:rsidRPr="001050EA">
        <w:rPr>
          <w:b/>
          <w:spacing w:val="0"/>
          <w:sz w:val="18"/>
          <w:szCs w:val="18"/>
        </w:rPr>
        <w:t xml:space="preserve"> </w:t>
      </w:r>
      <w:r w:rsidRPr="001050EA">
        <w:rPr>
          <w:spacing w:val="0"/>
          <w:sz w:val="18"/>
          <w:szCs w:val="18"/>
        </w:rPr>
        <w:t>acciones.</w:t>
      </w:r>
    </w:p>
    <w:p w14:paraId="5A3A40F7" w14:textId="77777777" w:rsidR="007957FA" w:rsidRPr="001050EA" w:rsidRDefault="007957FA" w:rsidP="00830C68">
      <w:pPr>
        <w:pStyle w:val="Textoindependiente"/>
        <w:rPr>
          <w:spacing w:val="0"/>
          <w:sz w:val="18"/>
          <w:szCs w:val="18"/>
        </w:rPr>
      </w:pPr>
    </w:p>
    <w:p w14:paraId="07DB2A3C" w14:textId="55CB923F" w:rsidR="00F827C9" w:rsidRPr="001050EA" w:rsidRDefault="00F827C9" w:rsidP="00CB2B82">
      <w:pPr>
        <w:pStyle w:val="Textoindependiente"/>
        <w:numPr>
          <w:ilvl w:val="0"/>
          <w:numId w:val="1"/>
        </w:numPr>
        <w:tabs>
          <w:tab w:val="clear" w:pos="720"/>
          <w:tab w:val="num" w:pos="426"/>
        </w:tabs>
        <w:ind w:hanging="720"/>
        <w:rPr>
          <w:spacing w:val="0"/>
          <w:sz w:val="18"/>
          <w:szCs w:val="18"/>
        </w:rPr>
      </w:pPr>
      <w:r w:rsidRPr="001050EA">
        <w:rPr>
          <w:spacing w:val="0"/>
          <w:sz w:val="18"/>
          <w:szCs w:val="18"/>
        </w:rPr>
        <w:t>Operaciones Carrusel</w:t>
      </w:r>
    </w:p>
    <w:p w14:paraId="7DF005DA" w14:textId="77777777" w:rsidR="00F827C9" w:rsidRPr="001050EA" w:rsidRDefault="00F827C9" w:rsidP="00830C68">
      <w:pPr>
        <w:pStyle w:val="Textoindependiente"/>
        <w:rPr>
          <w:spacing w:val="0"/>
          <w:sz w:val="18"/>
          <w:szCs w:val="18"/>
        </w:rPr>
      </w:pPr>
    </w:p>
    <w:p w14:paraId="7C1D7606" w14:textId="7307C21F" w:rsidR="00F827C9" w:rsidRPr="001050EA" w:rsidRDefault="00F827C9" w:rsidP="00830C68">
      <w:pPr>
        <w:pStyle w:val="Textoindependiente"/>
        <w:rPr>
          <w:spacing w:val="0"/>
          <w:sz w:val="18"/>
          <w:szCs w:val="18"/>
        </w:rPr>
      </w:pPr>
      <w:r w:rsidRPr="001050EA">
        <w:rPr>
          <w:spacing w:val="0"/>
          <w:sz w:val="18"/>
          <w:szCs w:val="18"/>
        </w:rPr>
        <w:t xml:space="preserve">En términos financieros, un carrusel consiste en una secuencia de operaciones de compra y venta de un título a futuro. Por lo anterior, para efectos de la exposición a riesgos de mercado de que trata el presente capítulo, estas operaciones deberán ser tratadas como una serie de operaciones de compra y venta a futuro del título subyacente. Cada una de estas operaciones deberá ser tratada </w:t>
      </w:r>
      <w:r w:rsidR="00A64C93" w:rsidRPr="001050EA">
        <w:rPr>
          <w:spacing w:val="0"/>
          <w:sz w:val="18"/>
          <w:szCs w:val="18"/>
        </w:rPr>
        <w:t>de acuerdo con</w:t>
      </w:r>
      <w:r w:rsidRPr="001050EA">
        <w:rPr>
          <w:spacing w:val="0"/>
          <w:sz w:val="18"/>
          <w:szCs w:val="18"/>
        </w:rPr>
        <w:t xml:space="preserve"> lo estipulado en el literal b del presente </w:t>
      </w:r>
      <w:r w:rsidR="00D66DC6" w:rsidRPr="001050EA">
        <w:rPr>
          <w:spacing w:val="0"/>
          <w:sz w:val="18"/>
          <w:szCs w:val="18"/>
        </w:rPr>
        <w:t>sub</w:t>
      </w:r>
      <w:r w:rsidRPr="001050EA">
        <w:rPr>
          <w:spacing w:val="0"/>
          <w:sz w:val="18"/>
          <w:szCs w:val="18"/>
        </w:rPr>
        <w:t>numeral</w:t>
      </w:r>
      <w:r w:rsidRPr="001050EA">
        <w:rPr>
          <w:sz w:val="18"/>
          <w:szCs w:val="18"/>
        </w:rPr>
        <w:t>.</w:t>
      </w:r>
    </w:p>
    <w:p w14:paraId="1145D1DF" w14:textId="77777777" w:rsidR="00F827C9" w:rsidRPr="001050EA" w:rsidRDefault="00F827C9" w:rsidP="00830C68">
      <w:pPr>
        <w:pStyle w:val="Textoindependiente"/>
        <w:rPr>
          <w:spacing w:val="0"/>
          <w:sz w:val="18"/>
          <w:szCs w:val="18"/>
        </w:rPr>
      </w:pPr>
    </w:p>
    <w:p w14:paraId="3E911E12" w14:textId="23026CF8" w:rsidR="00F827C9" w:rsidRPr="001050EA" w:rsidRDefault="00F827C9" w:rsidP="00CB2B82">
      <w:pPr>
        <w:pStyle w:val="Textoindependiente"/>
        <w:numPr>
          <w:ilvl w:val="0"/>
          <w:numId w:val="1"/>
        </w:numPr>
        <w:tabs>
          <w:tab w:val="clear" w:pos="720"/>
          <w:tab w:val="num" w:pos="426"/>
        </w:tabs>
        <w:ind w:hanging="720"/>
        <w:rPr>
          <w:spacing w:val="0"/>
          <w:sz w:val="18"/>
          <w:szCs w:val="18"/>
        </w:rPr>
      </w:pPr>
      <w:r w:rsidRPr="001050EA">
        <w:rPr>
          <w:spacing w:val="0"/>
          <w:sz w:val="18"/>
          <w:szCs w:val="18"/>
        </w:rPr>
        <w:t>Opciones</w:t>
      </w:r>
    </w:p>
    <w:p w14:paraId="603B6C02" w14:textId="77777777" w:rsidR="00F827C9" w:rsidRPr="001050EA" w:rsidRDefault="00F827C9" w:rsidP="00830C68">
      <w:pPr>
        <w:pStyle w:val="Textoindependiente"/>
        <w:rPr>
          <w:spacing w:val="0"/>
          <w:sz w:val="18"/>
          <w:szCs w:val="18"/>
        </w:rPr>
      </w:pPr>
    </w:p>
    <w:p w14:paraId="62AB6FE7" w14:textId="726CFAD5" w:rsidR="00F827C9" w:rsidRPr="001050EA" w:rsidRDefault="00F827C9" w:rsidP="00830C68">
      <w:pPr>
        <w:pStyle w:val="Textoindependiente"/>
        <w:rPr>
          <w:spacing w:val="0"/>
          <w:sz w:val="18"/>
          <w:szCs w:val="18"/>
        </w:rPr>
      </w:pPr>
      <w:r w:rsidRPr="001050EA">
        <w:rPr>
          <w:spacing w:val="0"/>
          <w:sz w:val="18"/>
          <w:szCs w:val="18"/>
        </w:rPr>
        <w:t xml:space="preserve">El tratamiento de estas operaciones será descrito en </w:t>
      </w:r>
      <w:r w:rsidR="00490E72" w:rsidRPr="001050EA">
        <w:rPr>
          <w:spacing w:val="0"/>
          <w:sz w:val="18"/>
          <w:szCs w:val="18"/>
        </w:rPr>
        <w:t>el subnumeral</w:t>
      </w:r>
      <w:r w:rsidRPr="001050EA">
        <w:rPr>
          <w:spacing w:val="0"/>
          <w:sz w:val="18"/>
          <w:szCs w:val="18"/>
        </w:rPr>
        <w:t xml:space="preserve"> 2.1.6</w:t>
      </w:r>
      <w:r w:rsidR="001F4383" w:rsidRPr="001050EA">
        <w:rPr>
          <w:spacing w:val="0"/>
          <w:sz w:val="18"/>
          <w:szCs w:val="18"/>
        </w:rPr>
        <w:t xml:space="preserve"> del presente Anexo</w:t>
      </w:r>
      <w:r w:rsidRPr="001050EA">
        <w:rPr>
          <w:spacing w:val="0"/>
          <w:sz w:val="18"/>
          <w:szCs w:val="18"/>
        </w:rPr>
        <w:t>.</w:t>
      </w:r>
    </w:p>
    <w:p w14:paraId="65F0CF53" w14:textId="77777777" w:rsidR="00F827C9" w:rsidRPr="001050EA" w:rsidRDefault="00F827C9" w:rsidP="00830C68">
      <w:pPr>
        <w:pStyle w:val="Textoindependiente"/>
        <w:rPr>
          <w:spacing w:val="0"/>
          <w:sz w:val="18"/>
          <w:szCs w:val="18"/>
        </w:rPr>
      </w:pPr>
    </w:p>
    <w:p w14:paraId="624E9E42" w14:textId="77777777" w:rsidR="00F827C9" w:rsidRPr="001050EA" w:rsidRDefault="00F827C9" w:rsidP="00830C68">
      <w:pPr>
        <w:pStyle w:val="Textoindependiente"/>
        <w:rPr>
          <w:spacing w:val="0"/>
          <w:sz w:val="18"/>
          <w:szCs w:val="18"/>
        </w:rPr>
      </w:pPr>
      <w:r w:rsidRPr="001050EA">
        <w:rPr>
          <w:spacing w:val="0"/>
          <w:sz w:val="18"/>
          <w:szCs w:val="18"/>
        </w:rPr>
        <w:t>Para valorar aquellas posiciones nocionales asimiladas a bonos cero cupón, se deberán seguir las siguientes indicaciones:</w:t>
      </w:r>
    </w:p>
    <w:p w14:paraId="7D1A3485" w14:textId="77777777" w:rsidR="007957FA" w:rsidRPr="001050EA" w:rsidRDefault="007957FA" w:rsidP="00830C68">
      <w:pPr>
        <w:pStyle w:val="Textoindependiente"/>
        <w:rPr>
          <w:spacing w:val="0"/>
          <w:sz w:val="18"/>
          <w:szCs w:val="18"/>
        </w:rPr>
      </w:pPr>
    </w:p>
    <w:p w14:paraId="715DDDC1" w14:textId="5EC814C3" w:rsidR="007957FA" w:rsidRPr="001050EA" w:rsidRDefault="00F827C9" w:rsidP="00EC0A4F">
      <w:pPr>
        <w:pStyle w:val="Textoindependiente"/>
        <w:numPr>
          <w:ilvl w:val="0"/>
          <w:numId w:val="28"/>
        </w:numPr>
        <w:ind w:left="567" w:hanging="283"/>
        <w:rPr>
          <w:spacing w:val="0"/>
          <w:sz w:val="18"/>
          <w:szCs w:val="18"/>
        </w:rPr>
      </w:pPr>
      <w:r w:rsidRPr="001050EA">
        <w:rPr>
          <w:spacing w:val="0"/>
          <w:sz w:val="18"/>
          <w:szCs w:val="18"/>
        </w:rPr>
        <w:t xml:space="preserve">Cuando la posición se encuentre en moneda legal, se deberá utilizar la curva cero </w:t>
      </w:r>
      <w:r w:rsidR="00A64C93" w:rsidRPr="001050EA">
        <w:rPr>
          <w:spacing w:val="0"/>
          <w:sz w:val="18"/>
          <w:szCs w:val="18"/>
        </w:rPr>
        <w:t>cupón para</w:t>
      </w:r>
      <w:r w:rsidRPr="001050EA">
        <w:rPr>
          <w:spacing w:val="0"/>
          <w:sz w:val="18"/>
          <w:szCs w:val="18"/>
        </w:rPr>
        <w:t xml:space="preserve"> títulos TES tasa fija en pesos, suministrada por el proveedor de precios para valoración designado como oficial para el segmento correspondiente;</w:t>
      </w:r>
    </w:p>
    <w:p w14:paraId="391136AA" w14:textId="77777777" w:rsidR="00F827C9" w:rsidRPr="001050EA" w:rsidRDefault="00F827C9" w:rsidP="00EC0A4F">
      <w:pPr>
        <w:pStyle w:val="Textoindependiente"/>
        <w:numPr>
          <w:ilvl w:val="0"/>
          <w:numId w:val="28"/>
        </w:numPr>
        <w:ind w:left="567" w:hanging="283"/>
        <w:rPr>
          <w:spacing w:val="0"/>
          <w:sz w:val="18"/>
          <w:szCs w:val="18"/>
        </w:rPr>
      </w:pPr>
      <w:r w:rsidRPr="001050EA">
        <w:rPr>
          <w:spacing w:val="0"/>
          <w:sz w:val="18"/>
          <w:szCs w:val="18"/>
        </w:rPr>
        <w:t xml:space="preserve"> Cuando la posición se encuentre denominada en UVR se deberá utilizar la curva cero cupón para títulos TES en UVR, suministrada por el proveedor de precios para valoración designado como oficial para el segmento correspondiente.</w:t>
      </w:r>
    </w:p>
    <w:p w14:paraId="646AF3D8" w14:textId="77777777" w:rsidR="00DA75D8" w:rsidRPr="001050EA" w:rsidRDefault="00DA75D8" w:rsidP="00EC0A4F">
      <w:pPr>
        <w:pStyle w:val="Textoindependiente"/>
        <w:numPr>
          <w:ilvl w:val="0"/>
          <w:numId w:val="28"/>
        </w:numPr>
        <w:ind w:left="567" w:hanging="283"/>
        <w:rPr>
          <w:spacing w:val="0"/>
          <w:sz w:val="18"/>
          <w:szCs w:val="18"/>
        </w:rPr>
      </w:pPr>
      <w:r w:rsidRPr="001050EA">
        <w:rPr>
          <w:spacing w:val="0"/>
          <w:sz w:val="18"/>
          <w:szCs w:val="18"/>
        </w:rPr>
        <w:t>Para el caso de posiciones denominadas en moneda extranjera, la tasa de descuento aplicable es la tasa “</w:t>
      </w:r>
      <w:r w:rsidRPr="001050EA">
        <w:rPr>
          <w:i/>
          <w:spacing w:val="0"/>
          <w:sz w:val="18"/>
          <w:szCs w:val="18"/>
        </w:rPr>
        <w:t xml:space="preserve">London Interbank </w:t>
      </w:r>
      <w:proofErr w:type="spellStart"/>
      <w:r w:rsidRPr="001050EA">
        <w:rPr>
          <w:i/>
          <w:spacing w:val="0"/>
          <w:sz w:val="18"/>
          <w:szCs w:val="18"/>
        </w:rPr>
        <w:t>Offer</w:t>
      </w:r>
      <w:proofErr w:type="spellEnd"/>
      <w:r w:rsidRPr="001050EA">
        <w:rPr>
          <w:i/>
          <w:spacing w:val="0"/>
          <w:sz w:val="18"/>
          <w:szCs w:val="18"/>
        </w:rPr>
        <w:t xml:space="preserve"> </w:t>
      </w:r>
      <w:proofErr w:type="spellStart"/>
      <w:r w:rsidRPr="001050EA">
        <w:rPr>
          <w:i/>
          <w:spacing w:val="0"/>
          <w:sz w:val="18"/>
          <w:szCs w:val="18"/>
        </w:rPr>
        <w:t>Rate</w:t>
      </w:r>
      <w:proofErr w:type="spellEnd"/>
      <w:r w:rsidRPr="001050EA">
        <w:rPr>
          <w:spacing w:val="0"/>
          <w:sz w:val="18"/>
          <w:szCs w:val="18"/>
        </w:rPr>
        <w:t>” (LIBOR).</w:t>
      </w:r>
    </w:p>
    <w:p w14:paraId="7619885F" w14:textId="77777777" w:rsidR="00DA75D8" w:rsidRPr="001050EA" w:rsidRDefault="00DA75D8" w:rsidP="00830C68">
      <w:pPr>
        <w:pStyle w:val="Textoindependiente"/>
        <w:rPr>
          <w:b/>
          <w:spacing w:val="0"/>
          <w:sz w:val="18"/>
          <w:szCs w:val="18"/>
        </w:rPr>
      </w:pPr>
    </w:p>
    <w:p w14:paraId="4C919BB9" w14:textId="38FF41E1" w:rsidR="00DA75D8" w:rsidRPr="001050EA" w:rsidRDefault="00DA75D8" w:rsidP="00CB2B82">
      <w:pPr>
        <w:pStyle w:val="Textoindependiente"/>
        <w:numPr>
          <w:ilvl w:val="0"/>
          <w:numId w:val="1"/>
        </w:numPr>
        <w:tabs>
          <w:tab w:val="clear" w:pos="720"/>
          <w:tab w:val="num" w:pos="426"/>
        </w:tabs>
        <w:ind w:hanging="720"/>
        <w:rPr>
          <w:spacing w:val="0"/>
          <w:sz w:val="18"/>
          <w:szCs w:val="18"/>
        </w:rPr>
      </w:pPr>
      <w:r w:rsidRPr="001050EA">
        <w:rPr>
          <w:spacing w:val="0"/>
          <w:sz w:val="18"/>
          <w:szCs w:val="18"/>
        </w:rPr>
        <w:t>Notas estructuradas</w:t>
      </w:r>
    </w:p>
    <w:p w14:paraId="090FE1C0" w14:textId="77777777" w:rsidR="00DA75D8" w:rsidRPr="001050EA" w:rsidRDefault="00DA75D8" w:rsidP="00830C68">
      <w:pPr>
        <w:pStyle w:val="Textoindependiente"/>
        <w:rPr>
          <w:spacing w:val="0"/>
          <w:sz w:val="18"/>
          <w:szCs w:val="18"/>
        </w:rPr>
      </w:pPr>
    </w:p>
    <w:p w14:paraId="4154388C" w14:textId="77777777" w:rsidR="00DA75D8" w:rsidRPr="001050EA" w:rsidRDefault="00DA75D8" w:rsidP="00830C68">
      <w:pPr>
        <w:pStyle w:val="Textoindependiente"/>
        <w:rPr>
          <w:spacing w:val="0"/>
          <w:sz w:val="18"/>
          <w:szCs w:val="18"/>
        </w:rPr>
      </w:pPr>
      <w:r w:rsidRPr="001050EA">
        <w:rPr>
          <w:spacing w:val="0"/>
          <w:sz w:val="18"/>
          <w:szCs w:val="18"/>
        </w:rPr>
        <w:t>El riesgo de mercado de las notas estructuradas que puedan descomponerse en instrumentos de renta fija o variable e instrumentos derivados deberá calcularse para cada uno de sus componentes.</w:t>
      </w:r>
    </w:p>
    <w:p w14:paraId="570A3CBB" w14:textId="77777777" w:rsidR="00DA75D8" w:rsidRPr="001050EA" w:rsidRDefault="00DA75D8" w:rsidP="00830C68">
      <w:pPr>
        <w:pStyle w:val="Textoindependiente"/>
        <w:rPr>
          <w:spacing w:val="0"/>
          <w:sz w:val="18"/>
          <w:szCs w:val="18"/>
        </w:rPr>
      </w:pPr>
    </w:p>
    <w:p w14:paraId="3EC8C506" w14:textId="13692411" w:rsidR="00DA75D8" w:rsidRPr="001050EA" w:rsidRDefault="00DA75D8" w:rsidP="00830C68">
      <w:pPr>
        <w:pStyle w:val="Textoindependiente"/>
        <w:rPr>
          <w:spacing w:val="0"/>
          <w:sz w:val="18"/>
          <w:szCs w:val="18"/>
        </w:rPr>
      </w:pPr>
      <w:r w:rsidRPr="001050EA">
        <w:rPr>
          <w:spacing w:val="0"/>
          <w:sz w:val="18"/>
          <w:szCs w:val="18"/>
        </w:rPr>
        <w:t>Cuando se trate de notas estructuradas que, de acuerdo con su valoración, puedan descomponerse, el riesgo de mercado deberá calcularse teniendo en cuenta:</w:t>
      </w:r>
      <w:r w:rsidR="00CE4D92" w:rsidRPr="001050EA">
        <w:rPr>
          <w:spacing w:val="0"/>
          <w:sz w:val="18"/>
          <w:szCs w:val="18"/>
        </w:rPr>
        <w:t xml:space="preserve"> </w:t>
      </w:r>
      <w:r w:rsidRPr="001050EA">
        <w:rPr>
          <w:spacing w:val="0"/>
          <w:sz w:val="18"/>
          <w:szCs w:val="18"/>
        </w:rPr>
        <w:t>(i)</w:t>
      </w:r>
      <w:r w:rsidR="00CB2B82" w:rsidRPr="001050EA">
        <w:rPr>
          <w:spacing w:val="0"/>
          <w:sz w:val="18"/>
          <w:szCs w:val="18"/>
        </w:rPr>
        <w:t xml:space="preserve"> </w:t>
      </w:r>
      <w:r w:rsidRPr="001050EA">
        <w:rPr>
          <w:spacing w:val="0"/>
          <w:sz w:val="18"/>
          <w:szCs w:val="18"/>
        </w:rPr>
        <w:t xml:space="preserve">el módulo de tasa de interés, de acuerdo con las reglas contenidas en el </w:t>
      </w:r>
      <w:r w:rsidR="00E1619C" w:rsidRPr="001050EA">
        <w:rPr>
          <w:spacing w:val="0"/>
          <w:sz w:val="18"/>
          <w:szCs w:val="18"/>
        </w:rPr>
        <w:t>sub</w:t>
      </w:r>
      <w:r w:rsidRPr="001050EA">
        <w:rPr>
          <w:spacing w:val="0"/>
          <w:sz w:val="18"/>
          <w:szCs w:val="18"/>
        </w:rPr>
        <w:t xml:space="preserve">numeral 2.1.2 </w:t>
      </w:r>
      <w:r w:rsidR="008F7C81" w:rsidRPr="001050EA">
        <w:rPr>
          <w:spacing w:val="0"/>
          <w:sz w:val="18"/>
          <w:szCs w:val="18"/>
        </w:rPr>
        <w:t>de este A</w:t>
      </w:r>
      <w:r w:rsidRPr="001050EA">
        <w:rPr>
          <w:spacing w:val="0"/>
          <w:sz w:val="18"/>
          <w:szCs w:val="18"/>
        </w:rPr>
        <w:t>nexo, cuando se trate de instrumentos de renta fija; (</w:t>
      </w:r>
      <w:proofErr w:type="spellStart"/>
      <w:r w:rsidRPr="001050EA">
        <w:rPr>
          <w:spacing w:val="0"/>
          <w:sz w:val="18"/>
          <w:szCs w:val="18"/>
        </w:rPr>
        <w:t>ii</w:t>
      </w:r>
      <w:proofErr w:type="spellEnd"/>
      <w:r w:rsidRPr="001050EA">
        <w:rPr>
          <w:spacing w:val="0"/>
          <w:sz w:val="18"/>
          <w:szCs w:val="18"/>
        </w:rPr>
        <w:t>) el factor de riesgo de tasa de cambio, de acuerdo con las reglas contenidas en el numeral 2.1.3 del presente anexo; (</w:t>
      </w:r>
      <w:proofErr w:type="spellStart"/>
      <w:r w:rsidRPr="001050EA">
        <w:rPr>
          <w:spacing w:val="0"/>
          <w:sz w:val="18"/>
          <w:szCs w:val="18"/>
        </w:rPr>
        <w:t>iii</w:t>
      </w:r>
      <w:proofErr w:type="spellEnd"/>
      <w:r w:rsidRPr="001050EA">
        <w:rPr>
          <w:spacing w:val="0"/>
          <w:sz w:val="18"/>
          <w:szCs w:val="18"/>
        </w:rPr>
        <w:t>) el</w:t>
      </w:r>
      <w:r w:rsidR="00CE4D92" w:rsidRPr="001050EA">
        <w:rPr>
          <w:spacing w:val="0"/>
          <w:sz w:val="18"/>
          <w:szCs w:val="18"/>
        </w:rPr>
        <w:t xml:space="preserve"> </w:t>
      </w:r>
      <w:r w:rsidRPr="001050EA">
        <w:rPr>
          <w:spacing w:val="0"/>
          <w:sz w:val="18"/>
          <w:szCs w:val="18"/>
        </w:rPr>
        <w:t xml:space="preserve">factor de riesgo de precio de acciones o índice accionario, de acuerdo con las reglas contenidas en el </w:t>
      </w:r>
      <w:r w:rsidR="00E1619C" w:rsidRPr="001050EA">
        <w:rPr>
          <w:spacing w:val="0"/>
          <w:sz w:val="18"/>
          <w:szCs w:val="18"/>
        </w:rPr>
        <w:t>sub</w:t>
      </w:r>
      <w:r w:rsidRPr="001050EA">
        <w:rPr>
          <w:spacing w:val="0"/>
          <w:sz w:val="18"/>
          <w:szCs w:val="18"/>
        </w:rPr>
        <w:t>numeral 2.1.4 del presente anexo, para el caso de instrumentos de renta variable</w:t>
      </w:r>
      <w:r w:rsidR="00CE4D92" w:rsidRPr="001050EA">
        <w:rPr>
          <w:spacing w:val="0"/>
          <w:sz w:val="18"/>
          <w:szCs w:val="18"/>
        </w:rPr>
        <w:t>; y (</w:t>
      </w:r>
      <w:proofErr w:type="spellStart"/>
      <w:r w:rsidR="00CE4D92" w:rsidRPr="001050EA">
        <w:rPr>
          <w:spacing w:val="0"/>
          <w:sz w:val="18"/>
          <w:szCs w:val="18"/>
        </w:rPr>
        <w:t>iv</w:t>
      </w:r>
      <w:proofErr w:type="spellEnd"/>
      <w:r w:rsidR="00CE4D92" w:rsidRPr="001050EA">
        <w:rPr>
          <w:spacing w:val="0"/>
          <w:sz w:val="18"/>
          <w:szCs w:val="18"/>
        </w:rPr>
        <w:t>)</w:t>
      </w:r>
      <w:r w:rsidR="00CB2B82" w:rsidRPr="001050EA">
        <w:rPr>
          <w:spacing w:val="0"/>
          <w:sz w:val="18"/>
          <w:szCs w:val="18"/>
        </w:rPr>
        <w:t xml:space="preserve"> </w:t>
      </w:r>
      <w:r w:rsidR="00913B81" w:rsidRPr="001050EA">
        <w:rPr>
          <w:spacing w:val="0"/>
          <w:sz w:val="18"/>
          <w:szCs w:val="18"/>
        </w:rPr>
        <w:t xml:space="preserve">el factor de riesgo de operaciones de </w:t>
      </w:r>
      <w:r w:rsidR="008D23D4" w:rsidRPr="001050EA">
        <w:rPr>
          <w:spacing w:val="0"/>
          <w:sz w:val="18"/>
          <w:szCs w:val="18"/>
        </w:rPr>
        <w:t>CDS</w:t>
      </w:r>
      <w:r w:rsidR="00913B81" w:rsidRPr="001050EA">
        <w:rPr>
          <w:spacing w:val="0"/>
          <w:sz w:val="18"/>
          <w:szCs w:val="18"/>
        </w:rPr>
        <w:t xml:space="preserve">, de acuerdo con las reglas contenidas en el numeral 2.1.7 del presente </w:t>
      </w:r>
      <w:r w:rsidR="002D4DE2" w:rsidRPr="001050EA">
        <w:rPr>
          <w:spacing w:val="0"/>
          <w:sz w:val="18"/>
          <w:szCs w:val="18"/>
        </w:rPr>
        <w:t>A</w:t>
      </w:r>
      <w:r w:rsidR="00913B81" w:rsidRPr="001050EA">
        <w:rPr>
          <w:spacing w:val="0"/>
          <w:sz w:val="18"/>
          <w:szCs w:val="18"/>
        </w:rPr>
        <w:t>nexo.</w:t>
      </w:r>
    </w:p>
    <w:p w14:paraId="373B5105" w14:textId="77777777" w:rsidR="00DA75D8" w:rsidRPr="001050EA" w:rsidRDefault="00DA75D8" w:rsidP="00830C68">
      <w:pPr>
        <w:pStyle w:val="Textoindependiente"/>
        <w:rPr>
          <w:spacing w:val="0"/>
          <w:sz w:val="18"/>
          <w:szCs w:val="18"/>
        </w:rPr>
      </w:pPr>
    </w:p>
    <w:p w14:paraId="799FFE7C" w14:textId="183A50F1" w:rsidR="00DA75D8" w:rsidRPr="001050EA" w:rsidRDefault="00DA75D8" w:rsidP="00830C68">
      <w:pPr>
        <w:pStyle w:val="Textoindependiente"/>
        <w:rPr>
          <w:spacing w:val="0"/>
          <w:sz w:val="18"/>
          <w:szCs w:val="18"/>
        </w:rPr>
      </w:pPr>
      <w:r w:rsidRPr="001050EA">
        <w:rPr>
          <w:spacing w:val="0"/>
          <w:sz w:val="18"/>
          <w:szCs w:val="18"/>
        </w:rPr>
        <w:t xml:space="preserve">Cuando se trate de notas estructuradas que, de acuerdo con su valoración, no puedan descomponerse y se asemejen en su comportamiento y estructura a una opción, el riesgo de mercado deberá calcularse de acuerdo con las reglas contenidas en el </w:t>
      </w:r>
      <w:r w:rsidR="00E1619C" w:rsidRPr="001050EA">
        <w:rPr>
          <w:spacing w:val="0"/>
          <w:sz w:val="18"/>
          <w:szCs w:val="18"/>
        </w:rPr>
        <w:t>sub</w:t>
      </w:r>
      <w:r w:rsidRPr="001050EA">
        <w:rPr>
          <w:spacing w:val="0"/>
          <w:sz w:val="18"/>
          <w:szCs w:val="18"/>
        </w:rPr>
        <w:t>numeral 2.1.6 del presente instructivo.</w:t>
      </w:r>
    </w:p>
    <w:p w14:paraId="09F2DACE" w14:textId="77777777" w:rsidR="00DA75D8" w:rsidRPr="001050EA" w:rsidRDefault="00DA75D8" w:rsidP="00830C68">
      <w:pPr>
        <w:pStyle w:val="Textoindependiente"/>
        <w:rPr>
          <w:spacing w:val="0"/>
          <w:sz w:val="18"/>
          <w:szCs w:val="18"/>
        </w:rPr>
      </w:pPr>
    </w:p>
    <w:p w14:paraId="44C0B8C6" w14:textId="7301F6B0" w:rsidR="00DA75D8" w:rsidRPr="001050EA" w:rsidRDefault="00DA75D8" w:rsidP="00CB2B82">
      <w:pPr>
        <w:pStyle w:val="Textoindependiente"/>
        <w:numPr>
          <w:ilvl w:val="0"/>
          <w:numId w:val="1"/>
        </w:numPr>
        <w:tabs>
          <w:tab w:val="clear" w:pos="720"/>
          <w:tab w:val="num" w:pos="426"/>
        </w:tabs>
        <w:ind w:hanging="720"/>
        <w:rPr>
          <w:spacing w:val="0"/>
          <w:sz w:val="18"/>
          <w:szCs w:val="18"/>
        </w:rPr>
      </w:pPr>
      <w:r w:rsidRPr="001050EA">
        <w:rPr>
          <w:spacing w:val="0"/>
          <w:sz w:val="18"/>
          <w:szCs w:val="18"/>
        </w:rPr>
        <w:t>Inversiones clasificadas hasta el vencimiento entregadas como garantías</w:t>
      </w:r>
    </w:p>
    <w:p w14:paraId="307D56A7" w14:textId="77777777" w:rsidR="00DA75D8" w:rsidRPr="001050EA" w:rsidRDefault="00DA75D8" w:rsidP="00830C68">
      <w:pPr>
        <w:pStyle w:val="Textoindependiente"/>
        <w:rPr>
          <w:spacing w:val="0"/>
          <w:sz w:val="18"/>
          <w:szCs w:val="18"/>
        </w:rPr>
      </w:pPr>
    </w:p>
    <w:p w14:paraId="53720C86" w14:textId="77777777" w:rsidR="00DA75D8" w:rsidRPr="001050EA" w:rsidRDefault="00DA75D8" w:rsidP="00830C68">
      <w:pPr>
        <w:pStyle w:val="Textoindependiente"/>
        <w:rPr>
          <w:spacing w:val="0"/>
          <w:sz w:val="18"/>
          <w:szCs w:val="18"/>
        </w:rPr>
      </w:pPr>
      <w:r w:rsidRPr="001050EA">
        <w:rPr>
          <w:spacing w:val="0"/>
          <w:sz w:val="18"/>
          <w:szCs w:val="18"/>
        </w:rPr>
        <w:t>Las inversiones que sean entregadas como garantías en una cámara de riesgo central de contraparte con el fin de respaldar el cumplimiento de las operaciones aceptadas para su compensación y liquidación deberán ser tenidas en cuenta para el cálculo de la exposición al riesgo de tasa de interés, por su valor de mercado, independientemente de su clasificación contable.</w:t>
      </w:r>
    </w:p>
    <w:p w14:paraId="595751EF" w14:textId="77777777" w:rsidR="00DA75D8" w:rsidRPr="001050EA" w:rsidRDefault="00DA75D8" w:rsidP="00830C68">
      <w:pPr>
        <w:pStyle w:val="Textoindependiente"/>
        <w:rPr>
          <w:spacing w:val="0"/>
          <w:sz w:val="18"/>
          <w:szCs w:val="18"/>
        </w:rPr>
      </w:pPr>
    </w:p>
    <w:p w14:paraId="05EF3530" w14:textId="77777777" w:rsidR="00DA75D8" w:rsidRPr="001050EA" w:rsidRDefault="00DA75D8" w:rsidP="00830C68">
      <w:pPr>
        <w:pStyle w:val="Textoindependiente"/>
        <w:rPr>
          <w:spacing w:val="0"/>
          <w:sz w:val="18"/>
          <w:szCs w:val="18"/>
        </w:rPr>
      </w:pPr>
      <w:r w:rsidRPr="001050EA">
        <w:rPr>
          <w:spacing w:val="0"/>
          <w:sz w:val="18"/>
          <w:szCs w:val="18"/>
        </w:rPr>
        <w:t>Así mismo, en el evento en que estas inversiones estén expresadas en moneda diferente a moneda legal, deberán tenerse en cuenta adicionalmente en el cálculo de la exposición al riesgo de tasa de cambio.</w:t>
      </w:r>
    </w:p>
    <w:p w14:paraId="44D8337A" w14:textId="77777777" w:rsidR="00DA75D8" w:rsidRPr="001050EA" w:rsidRDefault="00DA75D8" w:rsidP="00830C68">
      <w:pPr>
        <w:pStyle w:val="Textoindependiente"/>
        <w:ind w:firstLine="720"/>
        <w:rPr>
          <w:b/>
          <w:spacing w:val="0"/>
          <w:sz w:val="18"/>
          <w:szCs w:val="18"/>
        </w:rPr>
      </w:pPr>
    </w:p>
    <w:p w14:paraId="353B9C46" w14:textId="0855D55F" w:rsidR="00DA75D8" w:rsidRPr="001050EA" w:rsidRDefault="00DA75D8" w:rsidP="00830C68">
      <w:pPr>
        <w:pStyle w:val="Textoindependiente"/>
        <w:rPr>
          <w:bCs/>
          <w:spacing w:val="0"/>
          <w:sz w:val="18"/>
          <w:szCs w:val="18"/>
        </w:rPr>
      </w:pPr>
      <w:r w:rsidRPr="001050EA">
        <w:rPr>
          <w:bCs/>
          <w:spacing w:val="0"/>
          <w:sz w:val="18"/>
          <w:szCs w:val="18"/>
        </w:rPr>
        <w:t>2.1.1.2</w:t>
      </w:r>
      <w:r w:rsidR="00805667" w:rsidRPr="001050EA">
        <w:rPr>
          <w:bCs/>
          <w:spacing w:val="0"/>
          <w:sz w:val="18"/>
          <w:szCs w:val="18"/>
        </w:rPr>
        <w:t>.</w:t>
      </w:r>
      <w:r w:rsidRPr="001050EA">
        <w:rPr>
          <w:bCs/>
          <w:spacing w:val="0"/>
          <w:sz w:val="18"/>
          <w:szCs w:val="18"/>
        </w:rPr>
        <w:t xml:space="preserve"> Operaciones de reporto o repo, operaciones simultáneas y operaciones de transferencia temporal de valores</w:t>
      </w:r>
    </w:p>
    <w:p w14:paraId="4AE6F1CF" w14:textId="77777777" w:rsidR="00DA75D8" w:rsidRPr="001050EA" w:rsidRDefault="00DA75D8" w:rsidP="00830C68">
      <w:pPr>
        <w:pStyle w:val="Textoindependiente"/>
        <w:rPr>
          <w:b/>
          <w:bCs/>
          <w:spacing w:val="0"/>
          <w:sz w:val="18"/>
          <w:szCs w:val="18"/>
        </w:rPr>
      </w:pPr>
    </w:p>
    <w:p w14:paraId="18D77DE0" w14:textId="77777777" w:rsidR="00DA75D8" w:rsidRPr="001050EA" w:rsidRDefault="00DA75D8" w:rsidP="00830C68">
      <w:pPr>
        <w:pStyle w:val="Textoindependiente"/>
        <w:rPr>
          <w:spacing w:val="0"/>
          <w:sz w:val="18"/>
          <w:szCs w:val="18"/>
        </w:rPr>
      </w:pPr>
      <w:r w:rsidRPr="001050EA">
        <w:rPr>
          <w:spacing w:val="0"/>
          <w:sz w:val="18"/>
          <w:szCs w:val="18"/>
        </w:rPr>
        <w:t>Las operaciones a que hace referencia el presente subnumeral generan un intercambio de valores y de dinero entre las partes, con el compromiso de reversarlo al final de la operación.</w:t>
      </w:r>
    </w:p>
    <w:p w14:paraId="1E04AE87" w14:textId="77777777" w:rsidR="00DA75D8" w:rsidRPr="001050EA" w:rsidRDefault="00DA75D8" w:rsidP="00830C68">
      <w:pPr>
        <w:pStyle w:val="Textoindependiente"/>
        <w:rPr>
          <w:spacing w:val="0"/>
          <w:sz w:val="18"/>
          <w:szCs w:val="18"/>
        </w:rPr>
      </w:pPr>
    </w:p>
    <w:p w14:paraId="34A834B4" w14:textId="4DF3C9EA" w:rsidR="00DA75D8" w:rsidRPr="001050EA" w:rsidRDefault="00DA75D8" w:rsidP="00830C68">
      <w:pPr>
        <w:pStyle w:val="Textoindependiente"/>
        <w:rPr>
          <w:spacing w:val="0"/>
          <w:sz w:val="18"/>
          <w:szCs w:val="18"/>
        </w:rPr>
      </w:pPr>
      <w:r w:rsidRPr="001050EA">
        <w:rPr>
          <w:spacing w:val="0"/>
          <w:sz w:val="18"/>
          <w:szCs w:val="18"/>
        </w:rPr>
        <w:t xml:space="preserve">En las operaciones de reporto o repo (repo) y simultáneas, el “Enajenante” le entrega valores al </w:t>
      </w:r>
      <w:r w:rsidR="00914A84" w:rsidRPr="001050EA">
        <w:rPr>
          <w:spacing w:val="0"/>
          <w:sz w:val="18"/>
          <w:szCs w:val="18"/>
        </w:rPr>
        <w:t>“</w:t>
      </w:r>
      <w:r w:rsidRPr="001050EA">
        <w:rPr>
          <w:spacing w:val="0"/>
          <w:sz w:val="18"/>
          <w:szCs w:val="18"/>
        </w:rPr>
        <w:t xml:space="preserve">Adquirente”, y al hacerlo le transfiere la propiedad de éstos. A cambio, </w:t>
      </w:r>
      <w:r w:rsidR="0024376A" w:rsidRPr="001050EA">
        <w:rPr>
          <w:spacing w:val="0"/>
          <w:sz w:val="18"/>
          <w:szCs w:val="18"/>
        </w:rPr>
        <w:t xml:space="preserve">el </w:t>
      </w:r>
      <w:r w:rsidR="00914A84" w:rsidRPr="001050EA">
        <w:rPr>
          <w:spacing w:val="0"/>
          <w:sz w:val="18"/>
          <w:szCs w:val="18"/>
        </w:rPr>
        <w:t>“</w:t>
      </w:r>
      <w:r w:rsidRPr="001050EA">
        <w:rPr>
          <w:spacing w:val="0"/>
          <w:sz w:val="18"/>
          <w:szCs w:val="18"/>
        </w:rPr>
        <w:t xml:space="preserve">Adquirente” le entrega dinero al </w:t>
      </w:r>
      <w:r w:rsidR="00914A84" w:rsidRPr="001050EA">
        <w:rPr>
          <w:spacing w:val="0"/>
          <w:sz w:val="18"/>
          <w:szCs w:val="18"/>
        </w:rPr>
        <w:t>“</w:t>
      </w:r>
      <w:r w:rsidRPr="001050EA">
        <w:rPr>
          <w:spacing w:val="0"/>
          <w:sz w:val="18"/>
          <w:szCs w:val="18"/>
        </w:rPr>
        <w:t xml:space="preserve">Enajenante”. De manera análoga, en las operaciones de transferencia temporal de valores el </w:t>
      </w:r>
      <w:r w:rsidR="00914A84" w:rsidRPr="001050EA">
        <w:rPr>
          <w:spacing w:val="0"/>
          <w:sz w:val="18"/>
          <w:szCs w:val="18"/>
        </w:rPr>
        <w:t>“</w:t>
      </w:r>
      <w:r w:rsidRPr="001050EA">
        <w:rPr>
          <w:spacing w:val="0"/>
          <w:sz w:val="18"/>
          <w:szCs w:val="18"/>
        </w:rPr>
        <w:t xml:space="preserve">Originador” le entrega valores al “Receptor” y, al hacerlo, le transfiere la propiedad de éstos. A cambio, el </w:t>
      </w:r>
      <w:r w:rsidR="00914A84" w:rsidRPr="001050EA">
        <w:rPr>
          <w:spacing w:val="0"/>
          <w:sz w:val="18"/>
          <w:szCs w:val="18"/>
        </w:rPr>
        <w:t>“</w:t>
      </w:r>
      <w:r w:rsidRPr="001050EA">
        <w:rPr>
          <w:spacing w:val="0"/>
          <w:sz w:val="18"/>
          <w:szCs w:val="18"/>
        </w:rPr>
        <w:t>Receptor” le entrega dinero o valores al “Originador”, en cuyo caso también se transfiere la propiedad.</w:t>
      </w:r>
    </w:p>
    <w:p w14:paraId="33FAB80E" w14:textId="77777777" w:rsidR="00DA75D8" w:rsidRPr="001050EA" w:rsidRDefault="00DA75D8" w:rsidP="00830C68">
      <w:pPr>
        <w:pStyle w:val="Textoindependiente"/>
        <w:rPr>
          <w:spacing w:val="0"/>
          <w:sz w:val="18"/>
          <w:szCs w:val="18"/>
        </w:rPr>
      </w:pPr>
    </w:p>
    <w:p w14:paraId="3473C2AF" w14:textId="4613E197" w:rsidR="00DA75D8" w:rsidRPr="001050EA" w:rsidDel="00BB6C92" w:rsidRDefault="00DA75D8" w:rsidP="00830C68">
      <w:pPr>
        <w:pStyle w:val="Textoindependiente"/>
        <w:rPr>
          <w:spacing w:val="0"/>
          <w:sz w:val="18"/>
          <w:szCs w:val="18"/>
        </w:rPr>
      </w:pPr>
      <w:r w:rsidRPr="001050EA">
        <w:rPr>
          <w:spacing w:val="0"/>
          <w:sz w:val="18"/>
          <w:szCs w:val="18"/>
        </w:rPr>
        <w:t xml:space="preserve">Dado que en las </w:t>
      </w:r>
      <w:r w:rsidR="007957FA" w:rsidRPr="001050EA">
        <w:rPr>
          <w:spacing w:val="0"/>
          <w:sz w:val="18"/>
          <w:szCs w:val="18"/>
        </w:rPr>
        <w:t>3</w:t>
      </w:r>
      <w:r w:rsidRPr="001050EA">
        <w:rPr>
          <w:spacing w:val="0"/>
          <w:sz w:val="18"/>
          <w:szCs w:val="18"/>
        </w:rPr>
        <w:t xml:space="preserve"> operaciones mencionadas la vocación del valor es regresar a manos del “Enajenante”, del “Originador” o del “Receptor”, según sea el caso, la realidad financiera de la operación exige que el riesgo siga en el balance de las entidades que entregaron los valores al principio de </w:t>
      </w:r>
      <w:r w:rsidR="00A64C93" w:rsidRPr="001050EA">
        <w:rPr>
          <w:spacing w:val="0"/>
          <w:sz w:val="18"/>
          <w:szCs w:val="18"/>
        </w:rPr>
        <w:t>estas</w:t>
      </w:r>
      <w:r w:rsidRPr="001050EA">
        <w:rPr>
          <w:spacing w:val="0"/>
          <w:sz w:val="18"/>
          <w:szCs w:val="18"/>
        </w:rPr>
        <w:t>.</w:t>
      </w:r>
    </w:p>
    <w:p w14:paraId="580085FF" w14:textId="77777777" w:rsidR="00DA75D8" w:rsidRPr="001050EA" w:rsidRDefault="00DA75D8" w:rsidP="00830C68">
      <w:pPr>
        <w:pStyle w:val="Textoindependiente"/>
        <w:rPr>
          <w:spacing w:val="0"/>
          <w:sz w:val="18"/>
          <w:szCs w:val="18"/>
        </w:rPr>
      </w:pPr>
    </w:p>
    <w:p w14:paraId="272159FC" w14:textId="40247E71" w:rsidR="00DA75D8" w:rsidRPr="001050EA" w:rsidRDefault="00DA75D8" w:rsidP="00830C68">
      <w:pPr>
        <w:pStyle w:val="Textoindependiente"/>
        <w:rPr>
          <w:spacing w:val="0"/>
          <w:sz w:val="18"/>
          <w:szCs w:val="18"/>
        </w:rPr>
      </w:pPr>
      <w:r w:rsidRPr="001050EA">
        <w:rPr>
          <w:spacing w:val="0"/>
          <w:sz w:val="18"/>
          <w:szCs w:val="18"/>
        </w:rPr>
        <w:t>Teniendo en cuenta lo anterior, para efectos del cálculo de la exposición a</w:t>
      </w:r>
      <w:r w:rsidRPr="001050EA">
        <w:rPr>
          <w:b/>
          <w:spacing w:val="0"/>
          <w:sz w:val="18"/>
          <w:szCs w:val="18"/>
        </w:rPr>
        <w:t xml:space="preserve"> </w:t>
      </w:r>
      <w:r w:rsidRPr="001050EA">
        <w:rPr>
          <w:spacing w:val="0"/>
          <w:sz w:val="18"/>
          <w:szCs w:val="18"/>
        </w:rPr>
        <w:t xml:space="preserve">los riesgos de mercado las posiciones en las operaciones de que trata el presente numeral deben ser tenidas en cuenta </w:t>
      </w:r>
      <w:r w:rsidR="00A64C93" w:rsidRPr="001050EA">
        <w:rPr>
          <w:spacing w:val="0"/>
          <w:sz w:val="18"/>
          <w:szCs w:val="18"/>
        </w:rPr>
        <w:t>de acuerdo con</w:t>
      </w:r>
      <w:r w:rsidRPr="001050EA">
        <w:rPr>
          <w:spacing w:val="0"/>
          <w:sz w:val="18"/>
          <w:szCs w:val="18"/>
        </w:rPr>
        <w:t xml:space="preserve"> las siguientes instrucciones:</w:t>
      </w:r>
    </w:p>
    <w:p w14:paraId="4585E3ED" w14:textId="77777777" w:rsidR="00DA75D8" w:rsidRPr="001050EA" w:rsidRDefault="00DA75D8" w:rsidP="00830C68">
      <w:pPr>
        <w:pStyle w:val="Textoindependiente"/>
        <w:rPr>
          <w:spacing w:val="0"/>
          <w:sz w:val="18"/>
          <w:szCs w:val="18"/>
        </w:rPr>
      </w:pPr>
    </w:p>
    <w:p w14:paraId="3C85CA99" w14:textId="77777777" w:rsidR="00DA75D8" w:rsidRPr="001050EA" w:rsidRDefault="00DA75D8" w:rsidP="00830C68">
      <w:pPr>
        <w:pStyle w:val="Textoindependiente"/>
        <w:numPr>
          <w:ilvl w:val="0"/>
          <w:numId w:val="15"/>
        </w:numPr>
        <w:tabs>
          <w:tab w:val="clear" w:pos="720"/>
          <w:tab w:val="num" w:pos="284"/>
        </w:tabs>
        <w:ind w:left="284" w:hanging="295"/>
        <w:rPr>
          <w:spacing w:val="0"/>
          <w:sz w:val="18"/>
          <w:szCs w:val="18"/>
        </w:rPr>
      </w:pPr>
      <w:r w:rsidRPr="001050EA">
        <w:rPr>
          <w:spacing w:val="0"/>
          <w:sz w:val="18"/>
          <w:szCs w:val="18"/>
        </w:rPr>
        <w:t xml:space="preserve">Los valores entregados en desarrollo de las </w:t>
      </w:r>
      <w:r w:rsidR="007957FA" w:rsidRPr="001050EA">
        <w:rPr>
          <w:spacing w:val="0"/>
          <w:sz w:val="18"/>
          <w:szCs w:val="18"/>
        </w:rPr>
        <w:t>3</w:t>
      </w:r>
      <w:r w:rsidRPr="001050EA">
        <w:rPr>
          <w:spacing w:val="0"/>
          <w:sz w:val="18"/>
          <w:szCs w:val="18"/>
        </w:rPr>
        <w:t xml:space="preserve"> operaciones mencionadas deben ser tenidos en cuenta, por su valor de mercado, independientemente de su clasificación contable, para efectos de los cálculos de los riesgos de mercado del agente que los entregó al principio de la operación. Se exceptúan los valores obtenidos previamente a través de cualquiera de las operaciones mencionadas.</w:t>
      </w:r>
    </w:p>
    <w:p w14:paraId="73BA1EB4" w14:textId="77777777" w:rsidR="00DA75D8" w:rsidRPr="001050EA" w:rsidRDefault="00DA75D8" w:rsidP="00830C68">
      <w:pPr>
        <w:pStyle w:val="Textoindependiente"/>
        <w:tabs>
          <w:tab w:val="num" w:pos="284"/>
        </w:tabs>
        <w:rPr>
          <w:spacing w:val="0"/>
          <w:sz w:val="18"/>
          <w:szCs w:val="18"/>
        </w:rPr>
      </w:pPr>
    </w:p>
    <w:p w14:paraId="4638D866" w14:textId="31E760C9" w:rsidR="00DA75D8" w:rsidRPr="001050EA" w:rsidRDefault="00DA75D8" w:rsidP="00830C68">
      <w:pPr>
        <w:pStyle w:val="Textoindependiente"/>
        <w:numPr>
          <w:ilvl w:val="0"/>
          <w:numId w:val="15"/>
        </w:numPr>
        <w:tabs>
          <w:tab w:val="clear" w:pos="720"/>
          <w:tab w:val="num" w:pos="284"/>
        </w:tabs>
        <w:ind w:left="284" w:hanging="284"/>
        <w:rPr>
          <w:spacing w:val="0"/>
          <w:sz w:val="18"/>
          <w:szCs w:val="18"/>
        </w:rPr>
      </w:pPr>
      <w:r w:rsidRPr="001050EA">
        <w:rPr>
          <w:spacing w:val="0"/>
          <w:sz w:val="18"/>
          <w:szCs w:val="18"/>
        </w:rPr>
        <w:t xml:space="preserve">En los casos en los que una entidad actuando como adquirente en una operación repo o en una operación simultánea venda de manera definitiva a través de operaciones de contado los valores objeto de la operación, </w:t>
      </w:r>
      <w:r w:rsidR="00A64C93" w:rsidRPr="001050EA">
        <w:rPr>
          <w:spacing w:val="0"/>
          <w:sz w:val="18"/>
          <w:szCs w:val="18"/>
        </w:rPr>
        <w:t>o</w:t>
      </w:r>
      <w:r w:rsidRPr="001050EA">
        <w:rPr>
          <w:spacing w:val="0"/>
          <w:sz w:val="18"/>
          <w:szCs w:val="18"/>
        </w:rPr>
        <w:t xml:space="preserve"> los entregue como enajenante en una nueva operación repo, simultánea o transferencia temporal de valores,</w:t>
      </w:r>
      <w:r w:rsidRPr="001050EA">
        <w:rPr>
          <w:sz w:val="18"/>
          <w:szCs w:val="18"/>
        </w:rPr>
        <w:t xml:space="preserve"> </w:t>
      </w:r>
      <w:r w:rsidRPr="001050EA">
        <w:rPr>
          <w:spacing w:val="0"/>
          <w:sz w:val="18"/>
          <w:szCs w:val="18"/>
        </w:rPr>
        <w:t>la posición corta o la posición pasiva resultante deberá ser tenida en cuenta para efectos de los cálculos de la exposición a riesgos de mercado de que trata el presente capítulo.</w:t>
      </w:r>
    </w:p>
    <w:p w14:paraId="0DD2A862" w14:textId="77777777" w:rsidR="00DA75D8" w:rsidRPr="001050EA" w:rsidRDefault="00DA75D8" w:rsidP="00830C68">
      <w:pPr>
        <w:pStyle w:val="Textoindependiente"/>
        <w:tabs>
          <w:tab w:val="num" w:pos="284"/>
        </w:tabs>
        <w:ind w:left="720" w:hanging="720"/>
        <w:rPr>
          <w:spacing w:val="0"/>
          <w:sz w:val="18"/>
          <w:szCs w:val="18"/>
        </w:rPr>
      </w:pPr>
    </w:p>
    <w:p w14:paraId="65927D95" w14:textId="76F411D4" w:rsidR="00DA75D8" w:rsidRPr="001050EA" w:rsidRDefault="00DA75D8" w:rsidP="00830C68">
      <w:pPr>
        <w:pStyle w:val="Textoindependiente"/>
        <w:numPr>
          <w:ilvl w:val="0"/>
          <w:numId w:val="15"/>
        </w:numPr>
        <w:tabs>
          <w:tab w:val="clear" w:pos="720"/>
          <w:tab w:val="num" w:pos="284"/>
        </w:tabs>
        <w:ind w:left="284" w:hanging="284"/>
        <w:rPr>
          <w:spacing w:val="0"/>
          <w:sz w:val="18"/>
          <w:szCs w:val="18"/>
        </w:rPr>
      </w:pPr>
      <w:r w:rsidRPr="001050EA">
        <w:rPr>
          <w:spacing w:val="0"/>
          <w:sz w:val="18"/>
          <w:szCs w:val="18"/>
        </w:rPr>
        <w:t>Igual tratamiento recibirán las posiciones cortas o posiciones pasivas resultantes en los casos en los cuales cualquiera de las partes involucradas en una transferencia temporal de valores venda de manera definitiva a través</w:t>
      </w:r>
      <w:r w:rsidR="007957FA" w:rsidRPr="001050EA">
        <w:rPr>
          <w:spacing w:val="0"/>
          <w:sz w:val="18"/>
          <w:szCs w:val="18"/>
        </w:rPr>
        <w:t xml:space="preserve"> de operaciones de contado los </w:t>
      </w:r>
      <w:r w:rsidRPr="001050EA">
        <w:rPr>
          <w:spacing w:val="0"/>
          <w:sz w:val="18"/>
          <w:szCs w:val="18"/>
        </w:rPr>
        <w:t xml:space="preserve">valores que recibió en desarrollo de la mencionada operación, </w:t>
      </w:r>
      <w:r w:rsidR="00A64C93" w:rsidRPr="001050EA">
        <w:rPr>
          <w:spacing w:val="0"/>
          <w:sz w:val="18"/>
          <w:szCs w:val="18"/>
        </w:rPr>
        <w:t>o</w:t>
      </w:r>
      <w:r w:rsidRPr="001050EA">
        <w:rPr>
          <w:spacing w:val="0"/>
          <w:sz w:val="18"/>
          <w:szCs w:val="18"/>
        </w:rPr>
        <w:t xml:space="preserve"> los entregue como enajenante en una nueva operación repo, simultánea o transferencia temporal de valores.</w:t>
      </w:r>
    </w:p>
    <w:p w14:paraId="3FE8AFFF" w14:textId="77777777" w:rsidR="00DA75D8" w:rsidRPr="001050EA" w:rsidRDefault="00DA75D8" w:rsidP="00830C68">
      <w:pPr>
        <w:pStyle w:val="Textoindependiente"/>
        <w:rPr>
          <w:b/>
          <w:bCs/>
          <w:spacing w:val="0"/>
          <w:sz w:val="18"/>
          <w:szCs w:val="18"/>
        </w:rPr>
      </w:pPr>
    </w:p>
    <w:p w14:paraId="5CB48E92" w14:textId="6FDA6625" w:rsidR="00DA75D8" w:rsidRPr="001050EA" w:rsidRDefault="00DA75D8" w:rsidP="00830C68">
      <w:pPr>
        <w:pStyle w:val="Textoindependiente"/>
        <w:rPr>
          <w:spacing w:val="0"/>
          <w:sz w:val="18"/>
          <w:szCs w:val="18"/>
        </w:rPr>
      </w:pPr>
      <w:r w:rsidRPr="001050EA">
        <w:rPr>
          <w:spacing w:val="0"/>
          <w:sz w:val="18"/>
          <w:szCs w:val="18"/>
        </w:rPr>
        <w:t>En todo caso, las entidades vigiladas deben seguir las instrucciones señ</w:t>
      </w:r>
      <w:r w:rsidR="007957FA" w:rsidRPr="001050EA">
        <w:rPr>
          <w:spacing w:val="0"/>
          <w:sz w:val="18"/>
          <w:szCs w:val="18"/>
        </w:rPr>
        <w:t xml:space="preserve">aladas en el Capítulo XXV de la </w:t>
      </w:r>
      <w:r w:rsidR="0024376A" w:rsidRPr="001050EA">
        <w:rPr>
          <w:spacing w:val="0"/>
          <w:sz w:val="18"/>
          <w:szCs w:val="18"/>
        </w:rPr>
        <w:t>CBCF</w:t>
      </w:r>
      <w:r w:rsidRPr="001050EA">
        <w:rPr>
          <w:spacing w:val="0"/>
          <w:sz w:val="18"/>
          <w:szCs w:val="18"/>
        </w:rPr>
        <w:t xml:space="preserve"> con el fin de medir la exposición de riesgo de mercado de las operaciones de contado.</w:t>
      </w:r>
    </w:p>
    <w:p w14:paraId="15CE5514" w14:textId="77777777" w:rsidR="00DA75D8" w:rsidRPr="001050EA" w:rsidRDefault="00DA75D8" w:rsidP="00830C68">
      <w:pPr>
        <w:pStyle w:val="Textoindependiente"/>
        <w:rPr>
          <w:spacing w:val="0"/>
          <w:sz w:val="18"/>
          <w:szCs w:val="18"/>
        </w:rPr>
      </w:pPr>
    </w:p>
    <w:p w14:paraId="27A2922B" w14:textId="1735D415" w:rsidR="00DA75D8" w:rsidRPr="001050EA" w:rsidRDefault="00DA75D8" w:rsidP="00830C68">
      <w:pPr>
        <w:pStyle w:val="Textoindependiente"/>
        <w:rPr>
          <w:bCs/>
          <w:spacing w:val="0"/>
          <w:sz w:val="18"/>
          <w:szCs w:val="18"/>
        </w:rPr>
      </w:pPr>
      <w:r w:rsidRPr="001050EA">
        <w:rPr>
          <w:bCs/>
          <w:spacing w:val="0"/>
          <w:sz w:val="18"/>
          <w:szCs w:val="18"/>
        </w:rPr>
        <w:t>2.1.1.3</w:t>
      </w:r>
      <w:r w:rsidR="00C4243C" w:rsidRPr="001050EA">
        <w:rPr>
          <w:bCs/>
          <w:spacing w:val="0"/>
          <w:sz w:val="18"/>
          <w:szCs w:val="18"/>
        </w:rPr>
        <w:t>.</w:t>
      </w:r>
      <w:r w:rsidRPr="001050EA">
        <w:rPr>
          <w:bCs/>
          <w:spacing w:val="0"/>
          <w:sz w:val="18"/>
          <w:szCs w:val="18"/>
        </w:rPr>
        <w:t xml:space="preserve"> Operaciones de compra y venta de Fondos interbancarios</w:t>
      </w:r>
    </w:p>
    <w:p w14:paraId="22CE546A" w14:textId="77777777" w:rsidR="00DA75D8" w:rsidRPr="001050EA" w:rsidRDefault="00DA75D8" w:rsidP="00830C68">
      <w:pPr>
        <w:pStyle w:val="Textoindependiente"/>
        <w:rPr>
          <w:b/>
          <w:bCs/>
          <w:spacing w:val="0"/>
          <w:sz w:val="18"/>
          <w:szCs w:val="18"/>
        </w:rPr>
      </w:pPr>
    </w:p>
    <w:p w14:paraId="60892359" w14:textId="776411AB" w:rsidR="00DA75D8" w:rsidRPr="001050EA" w:rsidRDefault="00DA75D8" w:rsidP="00830C68">
      <w:pPr>
        <w:pStyle w:val="Textoindependiente"/>
        <w:rPr>
          <w:spacing w:val="0"/>
          <w:sz w:val="18"/>
          <w:szCs w:val="18"/>
        </w:rPr>
      </w:pPr>
      <w:r w:rsidRPr="001050EA">
        <w:rPr>
          <w:spacing w:val="0"/>
          <w:sz w:val="18"/>
          <w:szCs w:val="18"/>
        </w:rPr>
        <w:t xml:space="preserve">Las operaciones con fondos interbancarios están expuestas a riesgo de </w:t>
      </w:r>
      <w:r w:rsidR="00A64C93" w:rsidRPr="001050EA">
        <w:rPr>
          <w:spacing w:val="0"/>
          <w:sz w:val="18"/>
          <w:szCs w:val="18"/>
        </w:rPr>
        <w:t>crédito,</w:t>
      </w:r>
      <w:r w:rsidRPr="001050EA">
        <w:rPr>
          <w:spacing w:val="0"/>
          <w:sz w:val="18"/>
          <w:szCs w:val="18"/>
        </w:rPr>
        <w:t xml:space="preserve"> pero no a riesgo de mercado. Por lo anterior, estas operaciones no serán tenidas en cuenta para el cálculo de los requerimientos de capital por riesgo de mercado de que trata este capítulo.</w:t>
      </w:r>
    </w:p>
    <w:p w14:paraId="081DFA0F" w14:textId="77777777" w:rsidR="00DA75D8" w:rsidRPr="001050EA" w:rsidRDefault="00DA75D8" w:rsidP="00830C68">
      <w:pPr>
        <w:pStyle w:val="Textoindependiente"/>
        <w:rPr>
          <w:spacing w:val="0"/>
          <w:sz w:val="18"/>
          <w:szCs w:val="18"/>
        </w:rPr>
      </w:pPr>
    </w:p>
    <w:p w14:paraId="010EB412" w14:textId="1F6A0D67" w:rsidR="00DA75D8" w:rsidRPr="001050EA" w:rsidRDefault="00DA75D8" w:rsidP="00830C68">
      <w:pPr>
        <w:pStyle w:val="Textoindependiente"/>
        <w:rPr>
          <w:spacing w:val="0"/>
          <w:sz w:val="18"/>
          <w:szCs w:val="18"/>
        </w:rPr>
      </w:pPr>
      <w:r w:rsidRPr="001050EA">
        <w:rPr>
          <w:spacing w:val="0"/>
          <w:sz w:val="18"/>
          <w:szCs w:val="18"/>
        </w:rPr>
        <w:t xml:space="preserve">A </w:t>
      </w:r>
      <w:r w:rsidR="00914A84" w:rsidRPr="001050EA">
        <w:rPr>
          <w:spacing w:val="0"/>
          <w:sz w:val="18"/>
          <w:szCs w:val="18"/>
        </w:rPr>
        <w:t>continuación,</w:t>
      </w:r>
      <w:r w:rsidRPr="001050EA">
        <w:rPr>
          <w:spacing w:val="0"/>
          <w:sz w:val="18"/>
          <w:szCs w:val="18"/>
        </w:rPr>
        <w:t xml:space="preserve"> se describen las metodologías para el cálculo de la exposición a los riesgos de mercado en cada uno de los módulos que componen el modelo estándar.</w:t>
      </w:r>
    </w:p>
    <w:p w14:paraId="2C1EC6DF" w14:textId="77777777" w:rsidR="00DA75D8" w:rsidRPr="001050EA" w:rsidRDefault="00DA75D8" w:rsidP="00830C68">
      <w:pPr>
        <w:pStyle w:val="Textoindependiente"/>
        <w:rPr>
          <w:b/>
          <w:bCs/>
          <w:spacing w:val="0"/>
          <w:sz w:val="18"/>
          <w:szCs w:val="18"/>
        </w:rPr>
      </w:pPr>
    </w:p>
    <w:p w14:paraId="33C0128F" w14:textId="0B92BBA8" w:rsidR="00DA75D8" w:rsidRPr="001050EA" w:rsidRDefault="00DA75D8" w:rsidP="00830C68">
      <w:pPr>
        <w:pStyle w:val="Textoindependiente"/>
        <w:rPr>
          <w:bCs/>
          <w:spacing w:val="0"/>
          <w:sz w:val="18"/>
          <w:szCs w:val="18"/>
        </w:rPr>
      </w:pPr>
      <w:r w:rsidRPr="001050EA">
        <w:rPr>
          <w:bCs/>
          <w:spacing w:val="0"/>
          <w:sz w:val="18"/>
          <w:szCs w:val="18"/>
        </w:rPr>
        <w:t>2.1.2</w:t>
      </w:r>
      <w:r w:rsidR="00C4243C" w:rsidRPr="001050EA">
        <w:rPr>
          <w:bCs/>
          <w:spacing w:val="0"/>
          <w:sz w:val="18"/>
          <w:szCs w:val="18"/>
        </w:rPr>
        <w:t>.</w:t>
      </w:r>
      <w:r w:rsidRPr="001050EA">
        <w:rPr>
          <w:bCs/>
          <w:spacing w:val="0"/>
          <w:sz w:val="18"/>
          <w:szCs w:val="18"/>
        </w:rPr>
        <w:t xml:space="preserve"> Riesgo de tasa de interés</w:t>
      </w:r>
    </w:p>
    <w:p w14:paraId="6A94CA1B" w14:textId="77777777" w:rsidR="00DA75D8" w:rsidRPr="001050EA" w:rsidRDefault="00DA75D8" w:rsidP="00830C68">
      <w:pPr>
        <w:pStyle w:val="Textoindependiente"/>
        <w:rPr>
          <w:b/>
          <w:bCs/>
          <w:spacing w:val="0"/>
          <w:sz w:val="18"/>
          <w:szCs w:val="18"/>
        </w:rPr>
      </w:pPr>
    </w:p>
    <w:p w14:paraId="691A614F" w14:textId="162744C7" w:rsidR="00DA75D8" w:rsidRPr="001050EA" w:rsidRDefault="00DA75D8" w:rsidP="00830C68">
      <w:pPr>
        <w:pStyle w:val="Textoindependiente"/>
        <w:rPr>
          <w:spacing w:val="0"/>
          <w:sz w:val="18"/>
          <w:szCs w:val="18"/>
        </w:rPr>
      </w:pPr>
      <w:r w:rsidRPr="001050EA">
        <w:rPr>
          <w:spacing w:val="0"/>
          <w:sz w:val="18"/>
          <w:szCs w:val="18"/>
        </w:rPr>
        <w:t xml:space="preserve">Este </w:t>
      </w:r>
      <w:r w:rsidR="002371C3" w:rsidRPr="001050EA">
        <w:rPr>
          <w:spacing w:val="0"/>
          <w:sz w:val="18"/>
          <w:szCs w:val="18"/>
        </w:rPr>
        <w:t>sub</w:t>
      </w:r>
      <w:r w:rsidRPr="001050EA">
        <w:rPr>
          <w:spacing w:val="0"/>
          <w:sz w:val="18"/>
          <w:szCs w:val="18"/>
        </w:rPr>
        <w:t>numeral describe la metodología estandarizada para medir el riesgo de tomar o mantener posiciones, en el libro de tesorería, en instrumentos sensibles a cambios adversos en tasas de interés.</w:t>
      </w:r>
    </w:p>
    <w:p w14:paraId="341400A5" w14:textId="77777777" w:rsidR="00DA75D8" w:rsidRPr="001050EA" w:rsidRDefault="00DA75D8" w:rsidP="00830C68">
      <w:pPr>
        <w:pStyle w:val="Textoindependiente"/>
        <w:rPr>
          <w:spacing w:val="0"/>
          <w:sz w:val="18"/>
          <w:szCs w:val="18"/>
        </w:rPr>
      </w:pPr>
    </w:p>
    <w:p w14:paraId="7E6997D3" w14:textId="2232589A" w:rsidR="00DA75D8" w:rsidRPr="001050EA" w:rsidRDefault="00DA75D8" w:rsidP="00830C68">
      <w:pPr>
        <w:pStyle w:val="Textoindependiente"/>
        <w:rPr>
          <w:spacing w:val="0"/>
          <w:sz w:val="18"/>
          <w:szCs w:val="18"/>
        </w:rPr>
      </w:pPr>
      <w:r w:rsidRPr="001050EA">
        <w:rPr>
          <w:spacing w:val="0"/>
          <w:sz w:val="18"/>
          <w:szCs w:val="18"/>
        </w:rPr>
        <w:t xml:space="preserve">Para efectos de lo estipulado en el presente </w:t>
      </w:r>
      <w:r w:rsidR="00B42BC3" w:rsidRPr="001050EA">
        <w:rPr>
          <w:spacing w:val="0"/>
          <w:sz w:val="18"/>
          <w:szCs w:val="18"/>
        </w:rPr>
        <w:t>sub</w:t>
      </w:r>
      <w:r w:rsidRPr="001050EA">
        <w:rPr>
          <w:spacing w:val="0"/>
          <w:sz w:val="18"/>
          <w:szCs w:val="18"/>
        </w:rPr>
        <w:t>numeral deben tenerse en cuenta:</w:t>
      </w:r>
    </w:p>
    <w:p w14:paraId="33F26A58" w14:textId="77777777" w:rsidR="001625E6" w:rsidRPr="001050EA" w:rsidRDefault="001625E6" w:rsidP="00830C68">
      <w:pPr>
        <w:pStyle w:val="Textoindependiente"/>
        <w:rPr>
          <w:spacing w:val="0"/>
          <w:sz w:val="18"/>
          <w:szCs w:val="18"/>
        </w:rPr>
      </w:pPr>
    </w:p>
    <w:p w14:paraId="75E692FF" w14:textId="17C5B3E7" w:rsidR="001625E6" w:rsidRPr="001050EA" w:rsidRDefault="00DA75D8" w:rsidP="00830C68">
      <w:pPr>
        <w:pStyle w:val="Textoindependiente"/>
        <w:numPr>
          <w:ilvl w:val="0"/>
          <w:numId w:val="30"/>
        </w:numPr>
        <w:ind w:left="284" w:hanging="284"/>
        <w:rPr>
          <w:spacing w:val="0"/>
          <w:sz w:val="18"/>
          <w:szCs w:val="18"/>
        </w:rPr>
      </w:pPr>
      <w:r w:rsidRPr="001050EA">
        <w:rPr>
          <w:spacing w:val="0"/>
          <w:sz w:val="18"/>
          <w:szCs w:val="18"/>
        </w:rPr>
        <w:t>Las inversiones en títulos de renta fija bien sean pactad</w:t>
      </w:r>
      <w:r w:rsidR="00CB2B82" w:rsidRPr="001050EA">
        <w:rPr>
          <w:spacing w:val="0"/>
          <w:sz w:val="18"/>
          <w:szCs w:val="18"/>
        </w:rPr>
        <w:t>a</w:t>
      </w:r>
      <w:r w:rsidRPr="001050EA">
        <w:rPr>
          <w:spacing w:val="0"/>
          <w:sz w:val="18"/>
          <w:szCs w:val="18"/>
        </w:rPr>
        <w:t>s a tasa fija o a tasa variable.</w:t>
      </w:r>
    </w:p>
    <w:p w14:paraId="29A24975" w14:textId="16D60253" w:rsidR="001625E6" w:rsidRPr="001050EA" w:rsidRDefault="00DA75D8" w:rsidP="00830C68">
      <w:pPr>
        <w:pStyle w:val="Textoindependiente"/>
        <w:numPr>
          <w:ilvl w:val="0"/>
          <w:numId w:val="30"/>
        </w:numPr>
        <w:ind w:left="284" w:hanging="284"/>
        <w:rPr>
          <w:spacing w:val="0"/>
          <w:sz w:val="18"/>
          <w:szCs w:val="18"/>
        </w:rPr>
      </w:pPr>
      <w:r w:rsidRPr="001050EA">
        <w:rPr>
          <w:spacing w:val="0"/>
          <w:sz w:val="18"/>
          <w:szCs w:val="18"/>
        </w:rPr>
        <w:lastRenderedPageBreak/>
        <w:t xml:space="preserve">Las exposiciones asociadas a instrumentos derivados cuyos subyacentes sean títulos de renta fija o tasas de interés según lo determinado en el </w:t>
      </w:r>
      <w:r w:rsidR="0095477C" w:rsidRPr="001050EA">
        <w:rPr>
          <w:spacing w:val="0"/>
          <w:sz w:val="18"/>
          <w:szCs w:val="18"/>
        </w:rPr>
        <w:t>sub</w:t>
      </w:r>
      <w:r w:rsidRPr="001050EA">
        <w:rPr>
          <w:spacing w:val="0"/>
          <w:sz w:val="18"/>
          <w:szCs w:val="18"/>
        </w:rPr>
        <w:t>numeral 2.1.1</w:t>
      </w:r>
      <w:r w:rsidR="007107ED" w:rsidRPr="001050EA">
        <w:rPr>
          <w:spacing w:val="0"/>
          <w:sz w:val="18"/>
          <w:szCs w:val="18"/>
        </w:rPr>
        <w:t xml:space="preserve"> del presente Anexo</w:t>
      </w:r>
      <w:r w:rsidRPr="001050EA">
        <w:rPr>
          <w:spacing w:val="0"/>
          <w:sz w:val="18"/>
          <w:szCs w:val="18"/>
        </w:rPr>
        <w:t>.</w:t>
      </w:r>
    </w:p>
    <w:p w14:paraId="2B23E8F2" w14:textId="77777777" w:rsidR="000934FA" w:rsidRPr="001050EA" w:rsidRDefault="000934FA" w:rsidP="000934FA">
      <w:pPr>
        <w:pStyle w:val="Textoindependiente"/>
        <w:ind w:left="284"/>
        <w:rPr>
          <w:spacing w:val="0"/>
          <w:sz w:val="18"/>
          <w:szCs w:val="18"/>
        </w:rPr>
      </w:pPr>
    </w:p>
    <w:p w14:paraId="51E8DB0E" w14:textId="0E551D73" w:rsidR="00DA75D8" w:rsidRPr="001050EA" w:rsidRDefault="00DA75D8" w:rsidP="00830C68">
      <w:pPr>
        <w:pStyle w:val="Textoindependiente"/>
        <w:numPr>
          <w:ilvl w:val="0"/>
          <w:numId w:val="30"/>
        </w:numPr>
        <w:ind w:left="284" w:hanging="284"/>
        <w:rPr>
          <w:spacing w:val="0"/>
          <w:sz w:val="18"/>
          <w:szCs w:val="18"/>
        </w:rPr>
      </w:pPr>
      <w:r w:rsidRPr="001050EA">
        <w:rPr>
          <w:spacing w:val="0"/>
          <w:sz w:val="18"/>
          <w:szCs w:val="18"/>
        </w:rPr>
        <w:t>Adicionalmente, cuando corresponda según lo previsto en el numeral 2.1.6</w:t>
      </w:r>
      <w:r w:rsidR="00FA2004" w:rsidRPr="001050EA">
        <w:rPr>
          <w:spacing w:val="0"/>
          <w:sz w:val="18"/>
          <w:szCs w:val="18"/>
        </w:rPr>
        <w:t xml:space="preserve"> del presente Anexo</w:t>
      </w:r>
      <w:r w:rsidRPr="001050EA">
        <w:rPr>
          <w:spacing w:val="0"/>
          <w:sz w:val="18"/>
          <w:szCs w:val="18"/>
        </w:rPr>
        <w:t>, las posiciones delta ponderadas de opciones cuyo subyacente sea una tasa de interés o un título de deuda.</w:t>
      </w:r>
    </w:p>
    <w:p w14:paraId="6D2881D9" w14:textId="77777777" w:rsidR="00DA75D8" w:rsidRPr="001050EA" w:rsidRDefault="00DA75D8" w:rsidP="00830C68">
      <w:pPr>
        <w:pStyle w:val="Textoindependiente"/>
        <w:rPr>
          <w:spacing w:val="0"/>
          <w:sz w:val="18"/>
          <w:szCs w:val="18"/>
        </w:rPr>
      </w:pPr>
    </w:p>
    <w:p w14:paraId="460A52E6" w14:textId="5BD7036C" w:rsidR="00DA75D8" w:rsidRPr="001050EA" w:rsidRDefault="00DA75D8" w:rsidP="00830C68">
      <w:pPr>
        <w:pStyle w:val="Textoindependiente"/>
        <w:rPr>
          <w:spacing w:val="0"/>
          <w:sz w:val="18"/>
          <w:szCs w:val="18"/>
        </w:rPr>
      </w:pPr>
      <w:r w:rsidRPr="001050EA">
        <w:rPr>
          <w:spacing w:val="0"/>
          <w:sz w:val="18"/>
          <w:szCs w:val="18"/>
        </w:rPr>
        <w:t xml:space="preserve">Se debe incluir en el cálculo de la exposición al riesgo de tasa de interés, las posiciones de las inversiones clasificadas como para mantener hasta el vencimiento entregadas como garantías en una cámara de riesgo central de contraparte con el fin de respaldar el cumplimiento de las operaciones aceptadas para su compensación y liquidación, </w:t>
      </w:r>
      <w:r w:rsidR="00A64C93" w:rsidRPr="001050EA">
        <w:rPr>
          <w:spacing w:val="0"/>
          <w:sz w:val="18"/>
          <w:szCs w:val="18"/>
        </w:rPr>
        <w:t>de acuerdo con</w:t>
      </w:r>
      <w:r w:rsidRPr="001050EA">
        <w:rPr>
          <w:spacing w:val="0"/>
          <w:sz w:val="18"/>
          <w:szCs w:val="18"/>
        </w:rPr>
        <w:t xml:space="preserve"> lo establecido en el literal i) del </w:t>
      </w:r>
      <w:r w:rsidR="00D42320" w:rsidRPr="001050EA">
        <w:rPr>
          <w:spacing w:val="0"/>
          <w:sz w:val="18"/>
          <w:szCs w:val="18"/>
        </w:rPr>
        <w:t>sub</w:t>
      </w:r>
      <w:r w:rsidR="00A64C93" w:rsidRPr="001050EA">
        <w:rPr>
          <w:spacing w:val="0"/>
          <w:sz w:val="18"/>
          <w:szCs w:val="18"/>
        </w:rPr>
        <w:t>numeral 2.1.1.1</w:t>
      </w:r>
      <w:r w:rsidRPr="001050EA">
        <w:rPr>
          <w:spacing w:val="0"/>
          <w:sz w:val="18"/>
          <w:szCs w:val="18"/>
        </w:rPr>
        <w:t xml:space="preserve"> del presente </w:t>
      </w:r>
      <w:r w:rsidR="00D42320" w:rsidRPr="001050EA">
        <w:rPr>
          <w:spacing w:val="0"/>
          <w:sz w:val="18"/>
          <w:szCs w:val="18"/>
        </w:rPr>
        <w:t>A</w:t>
      </w:r>
      <w:r w:rsidRPr="001050EA">
        <w:rPr>
          <w:spacing w:val="0"/>
          <w:sz w:val="18"/>
          <w:szCs w:val="18"/>
        </w:rPr>
        <w:t>nexo.</w:t>
      </w:r>
    </w:p>
    <w:p w14:paraId="151B1F25" w14:textId="77777777" w:rsidR="00DA75D8" w:rsidRPr="001050EA" w:rsidRDefault="00DA75D8" w:rsidP="00830C68">
      <w:pPr>
        <w:pStyle w:val="Textoindependiente"/>
        <w:rPr>
          <w:spacing w:val="0"/>
          <w:sz w:val="18"/>
          <w:szCs w:val="18"/>
        </w:rPr>
      </w:pPr>
    </w:p>
    <w:p w14:paraId="4C867CE6" w14:textId="77777777" w:rsidR="00DA75D8" w:rsidRPr="001050EA" w:rsidRDefault="00DA75D8" w:rsidP="00830C68">
      <w:pPr>
        <w:pStyle w:val="Textoindependiente"/>
        <w:rPr>
          <w:spacing w:val="0"/>
          <w:sz w:val="18"/>
          <w:szCs w:val="18"/>
        </w:rPr>
      </w:pPr>
      <w:r w:rsidRPr="001050EA">
        <w:rPr>
          <w:spacing w:val="0"/>
          <w:sz w:val="18"/>
          <w:szCs w:val="18"/>
        </w:rPr>
        <w:t>Para efectos de los cálculos a que hace referencia el presente numeral, las entidades deben reportar las exposiciones netas en cada instrumento. En ese sentido, se pueden excluir posiciones calzadas en los siguientes casos:</w:t>
      </w:r>
    </w:p>
    <w:p w14:paraId="5E724EB5" w14:textId="77777777" w:rsidR="00DA75D8" w:rsidRPr="001050EA" w:rsidRDefault="00DA75D8" w:rsidP="00830C68">
      <w:pPr>
        <w:pStyle w:val="Textoindependiente"/>
        <w:rPr>
          <w:spacing w:val="0"/>
          <w:sz w:val="18"/>
          <w:szCs w:val="18"/>
        </w:rPr>
      </w:pPr>
    </w:p>
    <w:p w14:paraId="3B2955AF" w14:textId="77777777" w:rsidR="002E52D5" w:rsidRPr="001050EA" w:rsidRDefault="00DA75D8" w:rsidP="00830C68">
      <w:pPr>
        <w:pStyle w:val="Textoindependiente"/>
        <w:numPr>
          <w:ilvl w:val="1"/>
          <w:numId w:val="29"/>
        </w:numPr>
        <w:ind w:left="284" w:hanging="284"/>
        <w:rPr>
          <w:spacing w:val="0"/>
          <w:sz w:val="18"/>
          <w:szCs w:val="18"/>
        </w:rPr>
      </w:pPr>
      <w:r w:rsidRPr="001050EA">
        <w:rPr>
          <w:spacing w:val="0"/>
          <w:sz w:val="18"/>
          <w:szCs w:val="18"/>
        </w:rPr>
        <w:t>Cuando las posiciones largas y cortas calzadas correspondan a una emisión idéntica, incluyendo las posiciones en subyacentes derivadas de la participación en forwards, futuros y operaciones a plazo.</w:t>
      </w:r>
      <w:r w:rsidRPr="001050EA">
        <w:rPr>
          <w:b/>
          <w:spacing w:val="0"/>
          <w:sz w:val="18"/>
          <w:szCs w:val="18"/>
        </w:rPr>
        <w:t xml:space="preserve"> </w:t>
      </w:r>
    </w:p>
    <w:p w14:paraId="29384274" w14:textId="77777777" w:rsidR="002E52D5" w:rsidRPr="001050EA" w:rsidRDefault="002E52D5" w:rsidP="00CB2B82">
      <w:pPr>
        <w:pStyle w:val="Textoindependiente"/>
        <w:rPr>
          <w:spacing w:val="0"/>
          <w:sz w:val="18"/>
          <w:szCs w:val="18"/>
        </w:rPr>
      </w:pPr>
    </w:p>
    <w:p w14:paraId="37318ED5" w14:textId="3BC90100" w:rsidR="001625E6" w:rsidRPr="001050EA" w:rsidRDefault="001625E6" w:rsidP="002E52D5">
      <w:pPr>
        <w:pStyle w:val="Textoindependiente"/>
        <w:ind w:left="284"/>
        <w:rPr>
          <w:spacing w:val="0"/>
          <w:sz w:val="18"/>
          <w:szCs w:val="18"/>
        </w:rPr>
      </w:pPr>
      <w:r w:rsidRPr="001050EA">
        <w:rPr>
          <w:spacing w:val="0"/>
          <w:sz w:val="18"/>
          <w:szCs w:val="18"/>
        </w:rPr>
        <w:t>No se pueden excluir posiciones calzadas entre distintas emisiones de un mismo emisor, dado que las diferencias en cupones, opciones implícitas o liquidez, entre otros elementos, pueden ocasionar divergencia entre los precios de dichas emisiones en el corto plazo.</w:t>
      </w:r>
    </w:p>
    <w:p w14:paraId="03414CD6" w14:textId="77777777" w:rsidR="001625E6" w:rsidRPr="001050EA" w:rsidRDefault="001625E6" w:rsidP="00830C68">
      <w:pPr>
        <w:pStyle w:val="Textoindependiente"/>
        <w:ind w:left="284" w:hanging="284"/>
        <w:rPr>
          <w:spacing w:val="0"/>
          <w:sz w:val="18"/>
          <w:szCs w:val="18"/>
        </w:rPr>
      </w:pPr>
    </w:p>
    <w:p w14:paraId="7B2D5DD8" w14:textId="77777777" w:rsidR="00DA75D8" w:rsidRPr="001050EA" w:rsidRDefault="00DA75D8" w:rsidP="00830C68">
      <w:pPr>
        <w:pStyle w:val="Textoindependiente"/>
        <w:numPr>
          <w:ilvl w:val="1"/>
          <w:numId w:val="29"/>
        </w:numPr>
        <w:ind w:left="284" w:hanging="284"/>
        <w:rPr>
          <w:spacing w:val="0"/>
          <w:sz w:val="18"/>
          <w:szCs w:val="18"/>
        </w:rPr>
      </w:pPr>
      <w:r w:rsidRPr="001050EA">
        <w:rPr>
          <w:spacing w:val="0"/>
          <w:sz w:val="18"/>
          <w:szCs w:val="18"/>
        </w:rPr>
        <w:t>Para las posiciones nocionales asociadas a instrumentos derivados, con excepción de las posiciones nocionales en títulos subyacentes, se podrán excluir las posiciones largas y cortas calzadas cuando:</w:t>
      </w:r>
    </w:p>
    <w:p w14:paraId="167618D7" w14:textId="77777777" w:rsidR="00DA75D8" w:rsidRPr="001050EA" w:rsidRDefault="00DA75D8" w:rsidP="00830C68">
      <w:pPr>
        <w:pStyle w:val="Textoindependiente"/>
        <w:rPr>
          <w:spacing w:val="0"/>
          <w:sz w:val="18"/>
          <w:szCs w:val="18"/>
        </w:rPr>
      </w:pPr>
    </w:p>
    <w:p w14:paraId="4BA3B3C4" w14:textId="43A23FAA" w:rsidR="00DA75D8" w:rsidRPr="001050EA" w:rsidRDefault="007F053E" w:rsidP="007F053E">
      <w:pPr>
        <w:pStyle w:val="Textoindependiente"/>
        <w:numPr>
          <w:ilvl w:val="0"/>
          <w:numId w:val="12"/>
        </w:numPr>
        <w:tabs>
          <w:tab w:val="clear" w:pos="720"/>
          <w:tab w:val="num" w:pos="426"/>
        </w:tabs>
        <w:ind w:left="567" w:hanging="283"/>
        <w:rPr>
          <w:spacing w:val="0"/>
          <w:sz w:val="18"/>
          <w:szCs w:val="18"/>
        </w:rPr>
      </w:pPr>
      <w:r w:rsidRPr="001050EA">
        <w:rPr>
          <w:spacing w:val="0"/>
          <w:sz w:val="18"/>
          <w:szCs w:val="18"/>
        </w:rPr>
        <w:t xml:space="preserve">    </w:t>
      </w:r>
      <w:r w:rsidR="00DA75D8" w:rsidRPr="001050EA">
        <w:rPr>
          <w:spacing w:val="0"/>
          <w:sz w:val="18"/>
          <w:szCs w:val="18"/>
        </w:rPr>
        <w:t xml:space="preserve">Las posiciones estén en la misma moneda; </w:t>
      </w:r>
    </w:p>
    <w:p w14:paraId="623440DD" w14:textId="1021D20A" w:rsidR="00DA75D8" w:rsidRPr="001050EA" w:rsidRDefault="007F053E" w:rsidP="007F053E">
      <w:pPr>
        <w:pStyle w:val="Textoindependiente"/>
        <w:numPr>
          <w:ilvl w:val="0"/>
          <w:numId w:val="12"/>
        </w:numPr>
        <w:tabs>
          <w:tab w:val="clear" w:pos="720"/>
          <w:tab w:val="num" w:pos="426"/>
        </w:tabs>
        <w:ind w:left="567" w:hanging="283"/>
        <w:rPr>
          <w:spacing w:val="0"/>
          <w:sz w:val="18"/>
          <w:szCs w:val="18"/>
        </w:rPr>
      </w:pPr>
      <w:r w:rsidRPr="001050EA">
        <w:rPr>
          <w:spacing w:val="0"/>
          <w:sz w:val="18"/>
          <w:szCs w:val="18"/>
        </w:rPr>
        <w:t xml:space="preserve">   </w:t>
      </w:r>
      <w:r w:rsidR="00DA75D8" w:rsidRPr="001050EA">
        <w:rPr>
          <w:spacing w:val="0"/>
          <w:sz w:val="18"/>
          <w:szCs w:val="18"/>
        </w:rPr>
        <w:t xml:space="preserve">Para swaps y </w:t>
      </w:r>
      <w:proofErr w:type="spellStart"/>
      <w:r w:rsidR="00DA75D8" w:rsidRPr="001050EA">
        <w:rPr>
          <w:spacing w:val="0"/>
          <w:sz w:val="18"/>
          <w:szCs w:val="18"/>
        </w:rPr>
        <w:t>FRAs</w:t>
      </w:r>
      <w:proofErr w:type="spellEnd"/>
      <w:r w:rsidR="00DA75D8" w:rsidRPr="001050EA">
        <w:rPr>
          <w:spacing w:val="0"/>
          <w:sz w:val="18"/>
          <w:szCs w:val="18"/>
        </w:rPr>
        <w:t>, la tasa de referencia debe ser idéntica y la diferencia entre los cup</w:t>
      </w:r>
      <w:r w:rsidR="006735E3" w:rsidRPr="001050EA">
        <w:rPr>
          <w:spacing w:val="0"/>
          <w:sz w:val="18"/>
          <w:szCs w:val="18"/>
        </w:rPr>
        <w:t xml:space="preserve">ones pactados debe ser menor a </w:t>
      </w:r>
      <w:r w:rsidR="00DA75D8" w:rsidRPr="001050EA">
        <w:rPr>
          <w:spacing w:val="0"/>
          <w:sz w:val="18"/>
          <w:szCs w:val="18"/>
        </w:rPr>
        <w:t>15 puntos básicos;</w:t>
      </w:r>
    </w:p>
    <w:p w14:paraId="09A95640" w14:textId="77777777" w:rsidR="00DA75D8" w:rsidRPr="001050EA" w:rsidRDefault="00DA75D8" w:rsidP="007F053E">
      <w:pPr>
        <w:pStyle w:val="Textoindependiente"/>
        <w:numPr>
          <w:ilvl w:val="0"/>
          <w:numId w:val="12"/>
        </w:numPr>
        <w:tabs>
          <w:tab w:val="clear" w:pos="720"/>
          <w:tab w:val="num" w:pos="426"/>
        </w:tabs>
        <w:ind w:left="567" w:hanging="283"/>
        <w:rPr>
          <w:spacing w:val="0"/>
          <w:sz w:val="18"/>
          <w:szCs w:val="18"/>
        </w:rPr>
      </w:pPr>
      <w:r w:rsidRPr="001050EA">
        <w:rPr>
          <w:spacing w:val="0"/>
          <w:sz w:val="18"/>
          <w:szCs w:val="18"/>
        </w:rPr>
        <w:t xml:space="preserve">Si la madurez residual (o próxima fecha de </w:t>
      </w:r>
      <w:proofErr w:type="spellStart"/>
      <w:r w:rsidRPr="001050EA">
        <w:rPr>
          <w:spacing w:val="0"/>
          <w:sz w:val="18"/>
          <w:szCs w:val="18"/>
        </w:rPr>
        <w:t>reprecio</w:t>
      </w:r>
      <w:proofErr w:type="spellEnd"/>
      <w:r w:rsidRPr="001050EA">
        <w:rPr>
          <w:spacing w:val="0"/>
          <w:sz w:val="18"/>
          <w:szCs w:val="18"/>
        </w:rPr>
        <w:t xml:space="preserve">) de las posiciones nocionales es menor o igual a treinta días y el descalce </w:t>
      </w:r>
      <w:r w:rsidR="006735E3" w:rsidRPr="001050EA">
        <w:rPr>
          <w:spacing w:val="0"/>
          <w:sz w:val="18"/>
          <w:szCs w:val="18"/>
        </w:rPr>
        <w:t xml:space="preserve">entre ellas es menor o igual a </w:t>
      </w:r>
      <w:r w:rsidRPr="001050EA">
        <w:rPr>
          <w:spacing w:val="0"/>
          <w:sz w:val="18"/>
          <w:szCs w:val="18"/>
        </w:rPr>
        <w:t>1 día; o,</w:t>
      </w:r>
    </w:p>
    <w:p w14:paraId="405E814F" w14:textId="77777777" w:rsidR="00DA75D8" w:rsidRPr="001050EA" w:rsidRDefault="00DA75D8" w:rsidP="007F053E">
      <w:pPr>
        <w:pStyle w:val="Textoindependiente"/>
        <w:numPr>
          <w:ilvl w:val="0"/>
          <w:numId w:val="12"/>
        </w:numPr>
        <w:tabs>
          <w:tab w:val="clear" w:pos="720"/>
          <w:tab w:val="num" w:pos="426"/>
        </w:tabs>
        <w:ind w:left="567" w:hanging="283"/>
        <w:rPr>
          <w:spacing w:val="0"/>
          <w:sz w:val="18"/>
          <w:szCs w:val="18"/>
        </w:rPr>
      </w:pPr>
      <w:r w:rsidRPr="001050EA">
        <w:rPr>
          <w:spacing w:val="0"/>
          <w:sz w:val="18"/>
          <w:szCs w:val="18"/>
        </w:rPr>
        <w:t xml:space="preserve">si la madurez residual (o próxima fecha de </w:t>
      </w:r>
      <w:proofErr w:type="spellStart"/>
      <w:r w:rsidRPr="001050EA">
        <w:rPr>
          <w:spacing w:val="0"/>
          <w:sz w:val="18"/>
          <w:szCs w:val="18"/>
        </w:rPr>
        <w:t>reprecio</w:t>
      </w:r>
      <w:proofErr w:type="spellEnd"/>
      <w:r w:rsidRPr="001050EA">
        <w:rPr>
          <w:spacing w:val="0"/>
          <w:sz w:val="18"/>
          <w:szCs w:val="18"/>
        </w:rPr>
        <w:t>) de las posiciones</w:t>
      </w:r>
      <w:r w:rsidR="001625E6" w:rsidRPr="001050EA">
        <w:rPr>
          <w:spacing w:val="0"/>
          <w:sz w:val="18"/>
          <w:szCs w:val="18"/>
        </w:rPr>
        <w:t xml:space="preserve"> nocionales es mayor que </w:t>
      </w:r>
      <w:r w:rsidRPr="001050EA">
        <w:rPr>
          <w:spacing w:val="0"/>
          <w:sz w:val="18"/>
          <w:szCs w:val="18"/>
        </w:rPr>
        <w:t>30 días y menor o igua</w:t>
      </w:r>
      <w:r w:rsidR="001625E6" w:rsidRPr="001050EA">
        <w:rPr>
          <w:spacing w:val="0"/>
          <w:sz w:val="18"/>
          <w:szCs w:val="18"/>
        </w:rPr>
        <w:t xml:space="preserve">l a </w:t>
      </w:r>
      <w:r w:rsidRPr="001050EA">
        <w:rPr>
          <w:spacing w:val="0"/>
          <w:sz w:val="18"/>
          <w:szCs w:val="18"/>
        </w:rPr>
        <w:t>365 días, y el descalce entr</w:t>
      </w:r>
      <w:r w:rsidR="006735E3" w:rsidRPr="001050EA">
        <w:rPr>
          <w:spacing w:val="0"/>
          <w:sz w:val="18"/>
          <w:szCs w:val="18"/>
        </w:rPr>
        <w:t xml:space="preserve">e ellas es menor o igual a </w:t>
      </w:r>
      <w:r w:rsidRPr="001050EA">
        <w:rPr>
          <w:spacing w:val="0"/>
          <w:sz w:val="18"/>
          <w:szCs w:val="18"/>
        </w:rPr>
        <w:t>7 días; o,</w:t>
      </w:r>
    </w:p>
    <w:p w14:paraId="0493860D" w14:textId="5AA89540" w:rsidR="00DA75D8" w:rsidRPr="001050EA" w:rsidRDefault="007F053E" w:rsidP="007F053E">
      <w:pPr>
        <w:pStyle w:val="Textoindependiente"/>
        <w:numPr>
          <w:ilvl w:val="0"/>
          <w:numId w:val="12"/>
        </w:numPr>
        <w:tabs>
          <w:tab w:val="clear" w:pos="720"/>
          <w:tab w:val="num" w:pos="426"/>
        </w:tabs>
        <w:ind w:left="567" w:hanging="283"/>
        <w:rPr>
          <w:spacing w:val="0"/>
          <w:sz w:val="18"/>
          <w:szCs w:val="18"/>
        </w:rPr>
      </w:pPr>
      <w:r w:rsidRPr="001050EA">
        <w:rPr>
          <w:spacing w:val="0"/>
          <w:sz w:val="18"/>
          <w:szCs w:val="18"/>
        </w:rPr>
        <w:t xml:space="preserve">  </w:t>
      </w:r>
      <w:r w:rsidR="00DA75D8" w:rsidRPr="001050EA">
        <w:rPr>
          <w:spacing w:val="0"/>
          <w:sz w:val="18"/>
          <w:szCs w:val="18"/>
        </w:rPr>
        <w:t xml:space="preserve">si la madurez residual (o próxima fecha de </w:t>
      </w:r>
      <w:proofErr w:type="spellStart"/>
      <w:r w:rsidR="00DA75D8" w:rsidRPr="001050EA">
        <w:rPr>
          <w:spacing w:val="0"/>
          <w:sz w:val="18"/>
          <w:szCs w:val="18"/>
        </w:rPr>
        <w:t>reprecio</w:t>
      </w:r>
      <w:proofErr w:type="spellEnd"/>
      <w:r w:rsidR="00DA75D8" w:rsidRPr="001050EA">
        <w:rPr>
          <w:spacing w:val="0"/>
          <w:sz w:val="18"/>
          <w:szCs w:val="18"/>
        </w:rPr>
        <w:t>) de las posiciones nocionales es mayor</w:t>
      </w:r>
      <w:r w:rsidR="001625E6" w:rsidRPr="001050EA">
        <w:rPr>
          <w:spacing w:val="0"/>
          <w:sz w:val="18"/>
          <w:szCs w:val="18"/>
        </w:rPr>
        <w:t xml:space="preserve"> a </w:t>
      </w:r>
      <w:r w:rsidR="00DA75D8" w:rsidRPr="001050EA">
        <w:rPr>
          <w:spacing w:val="0"/>
          <w:sz w:val="18"/>
          <w:szCs w:val="18"/>
        </w:rPr>
        <w:t xml:space="preserve">365 días y el descalce entre </w:t>
      </w:r>
      <w:r w:rsidR="006735E3" w:rsidRPr="001050EA">
        <w:rPr>
          <w:spacing w:val="0"/>
          <w:sz w:val="18"/>
          <w:szCs w:val="18"/>
        </w:rPr>
        <w:t xml:space="preserve">ellas es menor o igual a </w:t>
      </w:r>
      <w:r w:rsidR="00DA75D8" w:rsidRPr="001050EA">
        <w:rPr>
          <w:spacing w:val="0"/>
          <w:sz w:val="18"/>
          <w:szCs w:val="18"/>
        </w:rPr>
        <w:t xml:space="preserve">30 días; y </w:t>
      </w:r>
    </w:p>
    <w:p w14:paraId="2A8A45BD" w14:textId="70F28351" w:rsidR="00DA75D8" w:rsidRPr="001050EA" w:rsidRDefault="00DA75D8" w:rsidP="007F053E">
      <w:pPr>
        <w:pStyle w:val="Textoindependiente"/>
        <w:numPr>
          <w:ilvl w:val="0"/>
          <w:numId w:val="12"/>
        </w:numPr>
        <w:tabs>
          <w:tab w:val="clear" w:pos="720"/>
          <w:tab w:val="num" w:pos="426"/>
        </w:tabs>
        <w:ind w:left="567" w:hanging="283"/>
        <w:rPr>
          <w:spacing w:val="0"/>
          <w:sz w:val="18"/>
          <w:szCs w:val="18"/>
        </w:rPr>
      </w:pPr>
      <w:r w:rsidRPr="001050EA">
        <w:rPr>
          <w:spacing w:val="0"/>
          <w:sz w:val="18"/>
          <w:szCs w:val="18"/>
        </w:rPr>
        <w:t xml:space="preserve">si las posiciones a calzar están en </w:t>
      </w:r>
      <w:r w:rsidR="007957FA" w:rsidRPr="001050EA">
        <w:rPr>
          <w:spacing w:val="0"/>
          <w:sz w:val="18"/>
          <w:szCs w:val="18"/>
        </w:rPr>
        <w:t xml:space="preserve">2 </w:t>
      </w:r>
      <w:r w:rsidRPr="001050EA">
        <w:rPr>
          <w:spacing w:val="0"/>
          <w:sz w:val="18"/>
          <w:szCs w:val="18"/>
        </w:rPr>
        <w:t xml:space="preserve">categorías distintas </w:t>
      </w:r>
      <w:r w:rsidR="00A64C93" w:rsidRPr="001050EA">
        <w:rPr>
          <w:spacing w:val="0"/>
          <w:sz w:val="18"/>
          <w:szCs w:val="18"/>
        </w:rPr>
        <w:t>de acuerdo con</w:t>
      </w:r>
      <w:r w:rsidRPr="001050EA">
        <w:rPr>
          <w:spacing w:val="0"/>
          <w:sz w:val="18"/>
          <w:szCs w:val="18"/>
        </w:rPr>
        <w:t xml:space="preserve"> su madurez residual, el calce podrá realizarse sólo si se cumple con las condiciones de la posición con menor madurez residual. Por ejemplo, si se tiene una posición</w:t>
      </w:r>
    </w:p>
    <w:p w14:paraId="15A23329" w14:textId="77777777" w:rsidR="00DA75D8" w:rsidRPr="001050EA" w:rsidRDefault="00DA75D8" w:rsidP="007F053E">
      <w:pPr>
        <w:pStyle w:val="Textoindependiente"/>
        <w:numPr>
          <w:ilvl w:val="0"/>
          <w:numId w:val="12"/>
        </w:numPr>
        <w:tabs>
          <w:tab w:val="clear" w:pos="720"/>
          <w:tab w:val="num" w:pos="426"/>
        </w:tabs>
        <w:ind w:left="567" w:hanging="283"/>
        <w:rPr>
          <w:spacing w:val="0"/>
          <w:sz w:val="18"/>
          <w:szCs w:val="18"/>
        </w:rPr>
      </w:pPr>
      <w:r w:rsidRPr="001050EA">
        <w:rPr>
          <w:spacing w:val="0"/>
          <w:sz w:val="18"/>
          <w:szCs w:val="18"/>
        </w:rPr>
        <w:t xml:space="preserve">larga con una madurez residual de </w:t>
      </w:r>
      <w:r w:rsidR="007957FA" w:rsidRPr="001050EA">
        <w:rPr>
          <w:spacing w:val="0"/>
          <w:sz w:val="18"/>
          <w:szCs w:val="18"/>
        </w:rPr>
        <w:t>363</w:t>
      </w:r>
      <w:r w:rsidRPr="001050EA">
        <w:rPr>
          <w:spacing w:val="0"/>
          <w:sz w:val="18"/>
          <w:szCs w:val="18"/>
        </w:rPr>
        <w:t xml:space="preserve"> días, esta podrá calzarse con una posición corta, con una madurez residual de hasta </w:t>
      </w:r>
      <w:r w:rsidR="007957FA" w:rsidRPr="001050EA">
        <w:rPr>
          <w:spacing w:val="0"/>
          <w:sz w:val="18"/>
          <w:szCs w:val="18"/>
        </w:rPr>
        <w:t xml:space="preserve">369 </w:t>
      </w:r>
      <w:r w:rsidRPr="001050EA">
        <w:rPr>
          <w:spacing w:val="0"/>
          <w:sz w:val="18"/>
          <w:szCs w:val="18"/>
        </w:rPr>
        <w:t xml:space="preserve">días, para garantizar que el descalce entre ellas sea menor </w:t>
      </w:r>
      <w:r w:rsidR="007957FA" w:rsidRPr="001050EA">
        <w:rPr>
          <w:spacing w:val="0"/>
          <w:sz w:val="18"/>
          <w:szCs w:val="18"/>
        </w:rPr>
        <w:t>7</w:t>
      </w:r>
      <w:r w:rsidRPr="001050EA">
        <w:rPr>
          <w:spacing w:val="0"/>
          <w:sz w:val="18"/>
          <w:szCs w:val="18"/>
        </w:rPr>
        <w:t xml:space="preserve"> días. </w:t>
      </w:r>
    </w:p>
    <w:p w14:paraId="0A917B06" w14:textId="77777777" w:rsidR="00DA75D8" w:rsidRPr="001050EA" w:rsidRDefault="00DA75D8" w:rsidP="00830C68">
      <w:pPr>
        <w:jc w:val="both"/>
        <w:rPr>
          <w:sz w:val="18"/>
          <w:szCs w:val="18"/>
          <w:lang w:val="es-ES_tradnl"/>
        </w:rPr>
      </w:pPr>
    </w:p>
    <w:p w14:paraId="0A294177" w14:textId="1731BB58" w:rsidR="00DA75D8" w:rsidRPr="001050EA" w:rsidRDefault="00DA75D8" w:rsidP="00830C68">
      <w:pPr>
        <w:pStyle w:val="Textoindependiente"/>
        <w:numPr>
          <w:ilvl w:val="3"/>
          <w:numId w:val="23"/>
        </w:numPr>
        <w:rPr>
          <w:bCs/>
          <w:spacing w:val="0"/>
          <w:sz w:val="18"/>
          <w:szCs w:val="18"/>
        </w:rPr>
      </w:pPr>
      <w:r w:rsidRPr="001050EA">
        <w:rPr>
          <w:bCs/>
          <w:spacing w:val="0"/>
          <w:sz w:val="18"/>
          <w:szCs w:val="18"/>
        </w:rPr>
        <w:t>Medición del riesgo de tasa de interés</w:t>
      </w:r>
    </w:p>
    <w:p w14:paraId="0B914E14" w14:textId="77777777" w:rsidR="00E9711C" w:rsidRPr="001050EA" w:rsidRDefault="00E9711C" w:rsidP="00830C68">
      <w:pPr>
        <w:pStyle w:val="Textoindependiente"/>
        <w:rPr>
          <w:b/>
          <w:bCs/>
          <w:spacing w:val="0"/>
          <w:sz w:val="18"/>
          <w:szCs w:val="18"/>
        </w:rPr>
      </w:pPr>
    </w:p>
    <w:p w14:paraId="6DD2EB46" w14:textId="77777777" w:rsidR="00DA75D8" w:rsidRPr="001050EA" w:rsidRDefault="00DA75D8" w:rsidP="00830C68">
      <w:pPr>
        <w:pStyle w:val="Textoindependiente"/>
        <w:rPr>
          <w:spacing w:val="0"/>
          <w:sz w:val="18"/>
          <w:szCs w:val="18"/>
        </w:rPr>
      </w:pPr>
      <w:r w:rsidRPr="001050EA">
        <w:rPr>
          <w:spacing w:val="0"/>
          <w:sz w:val="18"/>
          <w:szCs w:val="18"/>
        </w:rPr>
        <w:t>La exposición a riesgo de tasa de interés refleja el riesgo asociado a movimientos adversos en las tasas de interés del mercado. Dicha exposición debe ser medida por las entidades de manera separada para las posiciones en moneda legal, en moneda extranjera y en Unidades de Valor Real (UVR).</w:t>
      </w:r>
    </w:p>
    <w:p w14:paraId="1B884B31" w14:textId="77777777" w:rsidR="00E857B7" w:rsidRPr="001050EA" w:rsidRDefault="00E857B7" w:rsidP="00830C68">
      <w:pPr>
        <w:pStyle w:val="Textoindependiente"/>
        <w:rPr>
          <w:b/>
          <w:bCs/>
          <w:spacing w:val="0"/>
          <w:sz w:val="18"/>
          <w:szCs w:val="18"/>
        </w:rPr>
      </w:pPr>
    </w:p>
    <w:p w14:paraId="34F65461" w14:textId="77777777" w:rsidR="00DA75D8" w:rsidRPr="001050EA" w:rsidRDefault="00DA75D8" w:rsidP="00830C68">
      <w:pPr>
        <w:pStyle w:val="Textoindependiente"/>
        <w:rPr>
          <w:spacing w:val="0"/>
          <w:sz w:val="18"/>
          <w:szCs w:val="18"/>
        </w:rPr>
      </w:pPr>
      <w:r w:rsidRPr="001050EA">
        <w:rPr>
          <w:spacing w:val="0"/>
          <w:sz w:val="18"/>
          <w:szCs w:val="18"/>
        </w:rPr>
        <w:t>2.1.2.1.1 Cálculo de la duración modificada</w:t>
      </w:r>
    </w:p>
    <w:p w14:paraId="690FCB47" w14:textId="77777777" w:rsidR="00DA75D8" w:rsidRPr="001050EA" w:rsidRDefault="00DA75D8" w:rsidP="00830C68">
      <w:pPr>
        <w:pStyle w:val="Textoindependiente"/>
        <w:rPr>
          <w:b/>
          <w:bCs/>
          <w:spacing w:val="0"/>
          <w:sz w:val="18"/>
          <w:szCs w:val="18"/>
        </w:rPr>
      </w:pPr>
    </w:p>
    <w:p w14:paraId="1DF64BEB" w14:textId="2617C7C9" w:rsidR="00922FD1" w:rsidRPr="001050EA" w:rsidRDefault="00E857B7" w:rsidP="00830C68">
      <w:pPr>
        <w:pStyle w:val="Textoindependiente"/>
        <w:rPr>
          <w:spacing w:val="0"/>
          <w:sz w:val="18"/>
          <w:szCs w:val="18"/>
        </w:rPr>
      </w:pPr>
      <w:r w:rsidRPr="001050EA">
        <w:rPr>
          <w:spacing w:val="0"/>
          <w:sz w:val="18"/>
          <w:szCs w:val="18"/>
        </w:rPr>
        <w:t>La entidad debe</w:t>
      </w:r>
      <w:r w:rsidR="00DA75D8" w:rsidRPr="001050EA">
        <w:rPr>
          <w:spacing w:val="0"/>
          <w:sz w:val="18"/>
          <w:szCs w:val="18"/>
        </w:rPr>
        <w:t xml:space="preserve"> calcular la duración modificada de cada una de las posiciones, incluyendo las nocionales asociadas a los instrumentos derivados, como una aproximación a la sensibilidad de su valor frente a cambios en la tasa de interés. Para dicho cálculo se debe utilizar la siguiente fórmula</w:t>
      </w:r>
      <w:r w:rsidR="00922FD1" w:rsidRPr="001050EA">
        <w:rPr>
          <w:spacing w:val="0"/>
          <w:sz w:val="18"/>
          <w:szCs w:val="18"/>
        </w:rPr>
        <w:t>:</w:t>
      </w:r>
    </w:p>
    <w:p w14:paraId="0CCB4A25" w14:textId="77777777" w:rsidR="00DA75D8" w:rsidRPr="001050EA" w:rsidRDefault="00DA75D8" w:rsidP="00830C68">
      <w:pPr>
        <w:pStyle w:val="Textoindependiente"/>
        <w:rPr>
          <w:spacing w:val="0"/>
          <w:sz w:val="18"/>
          <w:szCs w:val="18"/>
        </w:rPr>
      </w:pPr>
    </w:p>
    <w:p w14:paraId="6DE823C3" w14:textId="3EE743EA" w:rsidR="00F827C9" w:rsidRPr="001050EA" w:rsidRDefault="00E65CC2" w:rsidP="00830C68">
      <w:pPr>
        <w:pStyle w:val="Textoindependiente"/>
        <w:tabs>
          <w:tab w:val="num" w:pos="3844"/>
        </w:tabs>
        <w:ind w:firstLine="360"/>
        <w:jc w:val="center"/>
        <w:rPr>
          <w:spacing w:val="0"/>
          <w:sz w:val="18"/>
          <w:szCs w:val="18"/>
        </w:rPr>
      </w:pPr>
      <w:r w:rsidRPr="001050EA">
        <w:rPr>
          <w:noProof/>
          <w:spacing w:val="0"/>
          <w:position w:val="-28"/>
          <w:sz w:val="18"/>
          <w:szCs w:val="18"/>
        </w:rPr>
        <w:object w:dxaOrig="3379" w:dyaOrig="660" w14:anchorId="7757DD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95pt;height:34.35pt" o:ole="">
            <v:imagedata r:id="rId11" o:title=""/>
          </v:shape>
          <o:OLEObject Type="Embed" ProgID="Equation.3" ShapeID="_x0000_i1025" DrawAspect="Content" ObjectID="_1693808682" r:id="rId12"/>
        </w:object>
      </w:r>
    </w:p>
    <w:p w14:paraId="7DB0E420" w14:textId="77777777" w:rsidR="00F827C9" w:rsidRPr="001050EA" w:rsidRDefault="00F827C9" w:rsidP="00830C68">
      <w:pPr>
        <w:pStyle w:val="Textoindependiente"/>
        <w:rPr>
          <w:spacing w:val="0"/>
          <w:sz w:val="18"/>
          <w:szCs w:val="18"/>
        </w:rPr>
      </w:pPr>
      <w:r w:rsidRPr="001050EA">
        <w:rPr>
          <w:spacing w:val="0"/>
          <w:sz w:val="18"/>
          <w:szCs w:val="18"/>
        </w:rPr>
        <w:t>Dónde:</w:t>
      </w:r>
    </w:p>
    <w:p w14:paraId="062C9C3C" w14:textId="77777777" w:rsidR="00F827C9" w:rsidRPr="001050EA" w:rsidRDefault="00F827C9" w:rsidP="00830C68">
      <w:pPr>
        <w:pStyle w:val="Textoindependiente"/>
        <w:rPr>
          <w:spacing w:val="0"/>
          <w:sz w:val="18"/>
          <w:szCs w:val="18"/>
        </w:rPr>
      </w:pPr>
    </w:p>
    <w:p w14:paraId="78725FF8" w14:textId="3436936C" w:rsidR="00F827C9" w:rsidRPr="001050EA" w:rsidRDefault="00F827C9" w:rsidP="00830C68">
      <w:pPr>
        <w:pStyle w:val="Textoindependiente"/>
        <w:ind w:left="705" w:hanging="705"/>
        <w:rPr>
          <w:spacing w:val="0"/>
          <w:sz w:val="18"/>
          <w:szCs w:val="18"/>
          <w:lang w:val="es-ES_tradnl"/>
        </w:rPr>
      </w:pPr>
      <w:r w:rsidRPr="001050EA">
        <w:rPr>
          <w:i/>
          <w:iCs/>
          <w:spacing w:val="0"/>
          <w:sz w:val="18"/>
          <w:szCs w:val="18"/>
        </w:rPr>
        <w:t>r</w:t>
      </w:r>
      <w:r w:rsidRPr="001050EA">
        <w:rPr>
          <w:i/>
          <w:iCs/>
          <w:spacing w:val="0"/>
          <w:sz w:val="18"/>
          <w:szCs w:val="18"/>
        </w:rPr>
        <w:tab/>
      </w:r>
      <w:r w:rsidRPr="001050EA">
        <w:rPr>
          <w:spacing w:val="0"/>
          <w:sz w:val="18"/>
          <w:szCs w:val="18"/>
          <w:lang w:val="es-ES_tradnl"/>
        </w:rPr>
        <w:t xml:space="preserve">Último rendimiento disponible en la fecha de cálculo (tasa efectiva anual). Es </w:t>
      </w:r>
      <w:r w:rsidR="00A64C93" w:rsidRPr="001050EA">
        <w:rPr>
          <w:spacing w:val="0"/>
          <w:sz w:val="18"/>
          <w:szCs w:val="18"/>
          <w:lang w:val="es-ES_tradnl"/>
        </w:rPr>
        <w:t>decir,</w:t>
      </w:r>
      <w:r w:rsidRPr="001050EA">
        <w:rPr>
          <w:spacing w:val="0"/>
          <w:sz w:val="18"/>
          <w:szCs w:val="18"/>
          <w:lang w:val="es-ES_tradnl"/>
        </w:rPr>
        <w:t xml:space="preserve"> la última tasa de descuento disponible para el título, de acuerdo con la información para valoración suministrada por el proveedor de precios designado como oficial para el segmento correspondiente. </w:t>
      </w:r>
    </w:p>
    <w:p w14:paraId="56D89372" w14:textId="77777777" w:rsidR="00F827C9" w:rsidRPr="001050EA" w:rsidRDefault="00F827C9" w:rsidP="00830C68">
      <w:pPr>
        <w:pStyle w:val="Textoindependiente"/>
        <w:rPr>
          <w:spacing w:val="0"/>
          <w:sz w:val="18"/>
          <w:szCs w:val="18"/>
          <w:lang w:val="es-ES_tradnl"/>
        </w:rPr>
      </w:pPr>
    </w:p>
    <w:p w14:paraId="4D9D5B0C" w14:textId="77777777" w:rsidR="00F827C9" w:rsidRPr="001050EA" w:rsidRDefault="00F827C9" w:rsidP="00830C68">
      <w:pPr>
        <w:pStyle w:val="Textoindependiente"/>
        <w:rPr>
          <w:spacing w:val="0"/>
          <w:sz w:val="18"/>
          <w:szCs w:val="18"/>
        </w:rPr>
      </w:pPr>
      <w:r w:rsidRPr="001050EA">
        <w:rPr>
          <w:spacing w:val="0"/>
          <w:sz w:val="18"/>
          <w:szCs w:val="18"/>
        </w:rPr>
        <w:t>Para el cálculo de la duración de los diferentes instrumentos se deben seguir las instrucciones presentadas a continuación:</w:t>
      </w:r>
    </w:p>
    <w:p w14:paraId="28BAC503" w14:textId="77777777" w:rsidR="00F827C9" w:rsidRPr="001050EA" w:rsidRDefault="00F827C9" w:rsidP="00830C68">
      <w:pPr>
        <w:pStyle w:val="Textoindependiente"/>
        <w:rPr>
          <w:spacing w:val="0"/>
          <w:sz w:val="18"/>
          <w:szCs w:val="18"/>
        </w:rPr>
      </w:pPr>
    </w:p>
    <w:p w14:paraId="2024BBEA" w14:textId="77777777" w:rsidR="00F827C9" w:rsidRPr="001050EA" w:rsidRDefault="00F827C9" w:rsidP="00830C68">
      <w:pPr>
        <w:pStyle w:val="Textoindependiente"/>
        <w:numPr>
          <w:ilvl w:val="0"/>
          <w:numId w:val="17"/>
        </w:numPr>
        <w:ind w:firstLine="0"/>
        <w:rPr>
          <w:spacing w:val="0"/>
          <w:sz w:val="18"/>
          <w:szCs w:val="18"/>
        </w:rPr>
      </w:pPr>
      <w:r w:rsidRPr="001050EA">
        <w:rPr>
          <w:spacing w:val="0"/>
          <w:sz w:val="18"/>
          <w:szCs w:val="18"/>
        </w:rPr>
        <w:t>Duración de instrumentos pactados a tasa fija.</w:t>
      </w:r>
    </w:p>
    <w:p w14:paraId="3C49BFD9" w14:textId="77777777" w:rsidR="00F827C9" w:rsidRPr="001050EA" w:rsidRDefault="00F827C9" w:rsidP="00830C68">
      <w:pPr>
        <w:pStyle w:val="Textoindependiente"/>
        <w:rPr>
          <w:spacing w:val="0"/>
          <w:sz w:val="18"/>
          <w:szCs w:val="18"/>
        </w:rPr>
      </w:pPr>
    </w:p>
    <w:p w14:paraId="7451B861" w14:textId="77777777" w:rsidR="00F827C9" w:rsidRPr="001050EA" w:rsidRDefault="00F827C9" w:rsidP="007F053E">
      <w:pPr>
        <w:pStyle w:val="Textoindependiente"/>
        <w:ind w:left="284"/>
        <w:rPr>
          <w:spacing w:val="0"/>
          <w:sz w:val="18"/>
          <w:szCs w:val="18"/>
          <w:lang w:val="es-ES_tradnl"/>
        </w:rPr>
      </w:pPr>
      <w:r w:rsidRPr="001050EA">
        <w:rPr>
          <w:spacing w:val="0"/>
          <w:sz w:val="18"/>
          <w:szCs w:val="18"/>
          <w:lang w:val="es-ES_tradnl"/>
        </w:rPr>
        <w:t>La duración de un título pactado a tasa fija corresponde al plazo promedio de los flujos asociados a dicho título. Partiendo de los flujos contractuales y de la tasa de rendimiento del título, la duración del instrumento corresponde a:</w:t>
      </w:r>
    </w:p>
    <w:p w14:paraId="7E1B4530" w14:textId="77777777" w:rsidR="00F827C9" w:rsidRPr="001050EA" w:rsidRDefault="00F827C9" w:rsidP="007F053E">
      <w:pPr>
        <w:pStyle w:val="Textoindependiente"/>
        <w:ind w:left="284"/>
        <w:rPr>
          <w:spacing w:val="0"/>
          <w:sz w:val="18"/>
          <w:szCs w:val="18"/>
          <w:lang w:val="es-ES_tradnl"/>
        </w:rPr>
      </w:pPr>
    </w:p>
    <w:p w14:paraId="773A4EA0" w14:textId="77777777" w:rsidR="00F827C9" w:rsidRPr="001050EA" w:rsidRDefault="00E65CC2" w:rsidP="007F053E">
      <w:pPr>
        <w:pStyle w:val="Textoindependiente"/>
        <w:ind w:left="284"/>
        <w:jc w:val="center"/>
        <w:rPr>
          <w:spacing w:val="0"/>
          <w:sz w:val="18"/>
          <w:szCs w:val="18"/>
          <w:lang w:val="es-ES_tradnl"/>
        </w:rPr>
      </w:pPr>
      <w:r w:rsidRPr="001050EA">
        <w:rPr>
          <w:noProof/>
          <w:position w:val="-66"/>
          <w:sz w:val="18"/>
          <w:szCs w:val="18"/>
        </w:rPr>
        <w:object w:dxaOrig="2920" w:dyaOrig="1480" w14:anchorId="00D813DF">
          <v:shape id="_x0000_i1026" type="#_x0000_t75" style="width:145.65pt;height:73.65pt" o:ole="">
            <v:imagedata r:id="rId13" o:title=""/>
          </v:shape>
          <o:OLEObject Type="Embed" ProgID="Equation.3" ShapeID="_x0000_i1026" DrawAspect="Content" ObjectID="_1693808683" r:id="rId14"/>
        </w:object>
      </w:r>
    </w:p>
    <w:p w14:paraId="12E74AA3" w14:textId="77777777" w:rsidR="00F827C9" w:rsidRPr="001050EA" w:rsidRDefault="00F827C9" w:rsidP="007F053E">
      <w:pPr>
        <w:pStyle w:val="Textoindependiente"/>
        <w:ind w:left="284"/>
        <w:rPr>
          <w:spacing w:val="0"/>
          <w:sz w:val="18"/>
          <w:szCs w:val="18"/>
          <w:lang w:val="es-ES_tradnl"/>
        </w:rPr>
      </w:pPr>
      <w:r w:rsidRPr="001050EA">
        <w:rPr>
          <w:spacing w:val="0"/>
          <w:sz w:val="18"/>
          <w:szCs w:val="18"/>
          <w:lang w:val="es-ES_tradnl"/>
        </w:rPr>
        <w:t>Donde:</w:t>
      </w:r>
    </w:p>
    <w:p w14:paraId="4E270217" w14:textId="77777777" w:rsidR="00F827C9" w:rsidRPr="001050EA" w:rsidRDefault="00F827C9" w:rsidP="007F053E">
      <w:pPr>
        <w:pStyle w:val="Textoindependiente"/>
        <w:ind w:left="284"/>
        <w:rPr>
          <w:spacing w:val="0"/>
          <w:sz w:val="18"/>
          <w:szCs w:val="18"/>
          <w:lang w:val="es-ES_tradnl"/>
        </w:rPr>
      </w:pPr>
    </w:p>
    <w:p w14:paraId="49881302" w14:textId="5DCF4582" w:rsidR="00F827C9" w:rsidRPr="001050EA" w:rsidRDefault="00F827C9" w:rsidP="007F053E">
      <w:pPr>
        <w:pStyle w:val="Textoindependiente"/>
        <w:ind w:left="284"/>
        <w:rPr>
          <w:spacing w:val="0"/>
          <w:sz w:val="18"/>
          <w:szCs w:val="18"/>
          <w:lang w:val="es-ES_tradnl"/>
        </w:rPr>
      </w:pPr>
      <w:r w:rsidRPr="001050EA">
        <w:rPr>
          <w:i/>
          <w:iCs/>
          <w:spacing w:val="0"/>
          <w:sz w:val="18"/>
          <w:szCs w:val="18"/>
          <w:lang w:val="es-ES_tradnl"/>
        </w:rPr>
        <w:t>Fj</w:t>
      </w:r>
      <w:r w:rsidRPr="001050EA">
        <w:rPr>
          <w:spacing w:val="0"/>
          <w:sz w:val="18"/>
          <w:szCs w:val="18"/>
          <w:lang w:val="es-ES_tradnl"/>
        </w:rPr>
        <w:tab/>
      </w:r>
      <w:r w:rsidRPr="001050EA">
        <w:rPr>
          <w:i/>
          <w:iCs/>
          <w:spacing w:val="0"/>
          <w:sz w:val="18"/>
          <w:szCs w:val="18"/>
          <w:lang w:val="es-ES_tradnl"/>
        </w:rPr>
        <w:t>j-</w:t>
      </w:r>
      <w:r w:rsidRPr="001050EA">
        <w:rPr>
          <w:spacing w:val="0"/>
          <w:sz w:val="18"/>
          <w:szCs w:val="18"/>
          <w:lang w:val="es-ES_tradnl"/>
        </w:rPr>
        <w:t xml:space="preserve">ésimo flujo de fondos del instrumento, </w:t>
      </w:r>
      <w:r w:rsidRPr="001050EA">
        <w:rPr>
          <w:i/>
          <w:iCs/>
          <w:spacing w:val="0"/>
          <w:sz w:val="18"/>
          <w:szCs w:val="18"/>
          <w:lang w:val="es-ES_tradnl"/>
        </w:rPr>
        <w:t>j</w:t>
      </w:r>
      <w:r w:rsidRPr="001050EA">
        <w:rPr>
          <w:spacing w:val="0"/>
          <w:sz w:val="18"/>
          <w:szCs w:val="18"/>
          <w:lang w:val="es-ES_tradnl"/>
        </w:rPr>
        <w:t xml:space="preserve"> =</w:t>
      </w:r>
      <w:r w:rsidRPr="001050EA">
        <w:rPr>
          <w:i/>
          <w:iCs/>
          <w:spacing w:val="0"/>
          <w:sz w:val="18"/>
          <w:szCs w:val="18"/>
          <w:lang w:val="es-ES_tradnl"/>
        </w:rPr>
        <w:t>1, m</w:t>
      </w:r>
      <w:r w:rsidRPr="001050EA">
        <w:rPr>
          <w:spacing w:val="0"/>
          <w:sz w:val="18"/>
          <w:szCs w:val="18"/>
          <w:lang w:val="es-ES_tradnl"/>
        </w:rPr>
        <w:t>.</w:t>
      </w:r>
    </w:p>
    <w:p w14:paraId="044E07BA" w14:textId="77777777" w:rsidR="00F827C9" w:rsidRPr="001050EA" w:rsidRDefault="00F827C9" w:rsidP="007F053E">
      <w:pPr>
        <w:pStyle w:val="Textoindependiente"/>
        <w:ind w:left="284"/>
        <w:rPr>
          <w:spacing w:val="0"/>
          <w:sz w:val="18"/>
          <w:szCs w:val="18"/>
          <w:lang w:val="es-ES_tradnl"/>
        </w:rPr>
      </w:pPr>
      <w:r w:rsidRPr="001050EA">
        <w:rPr>
          <w:i/>
          <w:iCs/>
          <w:spacing w:val="0"/>
          <w:sz w:val="18"/>
          <w:szCs w:val="18"/>
          <w:lang w:val="es-ES_tradnl"/>
        </w:rPr>
        <w:t>t</w:t>
      </w:r>
      <w:r w:rsidRPr="001050EA">
        <w:rPr>
          <w:i/>
          <w:iCs/>
          <w:spacing w:val="0"/>
          <w:sz w:val="18"/>
          <w:szCs w:val="18"/>
          <w:vertAlign w:val="subscript"/>
          <w:lang w:val="es-ES_tradnl"/>
        </w:rPr>
        <w:t>j</w:t>
      </w:r>
      <w:r w:rsidRPr="001050EA">
        <w:rPr>
          <w:i/>
          <w:iCs/>
          <w:spacing w:val="0"/>
          <w:sz w:val="18"/>
          <w:szCs w:val="18"/>
          <w:vertAlign w:val="subscript"/>
          <w:lang w:val="es-ES_tradnl"/>
        </w:rPr>
        <w:tab/>
      </w:r>
      <w:r w:rsidRPr="001050EA">
        <w:rPr>
          <w:spacing w:val="0"/>
          <w:sz w:val="18"/>
          <w:szCs w:val="18"/>
          <w:lang w:val="es-ES_tradnl"/>
        </w:rPr>
        <w:t xml:space="preserve">tiempo restante hasta el </w:t>
      </w:r>
      <w:r w:rsidRPr="001050EA">
        <w:rPr>
          <w:i/>
          <w:iCs/>
          <w:spacing w:val="0"/>
          <w:sz w:val="18"/>
          <w:szCs w:val="18"/>
          <w:lang w:val="es-ES_tradnl"/>
        </w:rPr>
        <w:t>j-</w:t>
      </w:r>
      <w:r w:rsidRPr="001050EA">
        <w:rPr>
          <w:spacing w:val="0"/>
          <w:sz w:val="18"/>
          <w:szCs w:val="18"/>
          <w:lang w:val="es-ES_tradnl"/>
        </w:rPr>
        <w:t>ésimo flujo medido en número de años (número de días/365).</w:t>
      </w:r>
    </w:p>
    <w:p w14:paraId="408B0F6F" w14:textId="14999C29" w:rsidR="00F827C9" w:rsidRPr="001050EA" w:rsidRDefault="00F827C9" w:rsidP="007F053E">
      <w:pPr>
        <w:pStyle w:val="Textoindependiente"/>
        <w:ind w:left="284"/>
        <w:rPr>
          <w:spacing w:val="0"/>
          <w:sz w:val="18"/>
          <w:szCs w:val="18"/>
          <w:lang w:val="es-ES_tradnl"/>
        </w:rPr>
      </w:pPr>
      <w:r w:rsidRPr="001050EA">
        <w:rPr>
          <w:i/>
          <w:iCs/>
          <w:spacing w:val="0"/>
          <w:sz w:val="18"/>
          <w:szCs w:val="18"/>
          <w:lang w:val="es-ES_tradnl"/>
        </w:rPr>
        <w:t>r</w:t>
      </w:r>
      <w:r w:rsidRPr="001050EA">
        <w:rPr>
          <w:spacing w:val="0"/>
          <w:sz w:val="18"/>
          <w:szCs w:val="18"/>
          <w:lang w:val="es-ES_tradnl"/>
        </w:rPr>
        <w:tab/>
        <w:t xml:space="preserve">Último rendimiento disponible en la fecha de cálculo (tasa efectiva anual). Es </w:t>
      </w:r>
      <w:r w:rsidR="00A64C93" w:rsidRPr="001050EA">
        <w:rPr>
          <w:spacing w:val="0"/>
          <w:sz w:val="18"/>
          <w:szCs w:val="18"/>
          <w:lang w:val="es-ES_tradnl"/>
        </w:rPr>
        <w:t>decir,</w:t>
      </w:r>
      <w:r w:rsidRPr="001050EA">
        <w:rPr>
          <w:spacing w:val="0"/>
          <w:sz w:val="18"/>
          <w:szCs w:val="18"/>
          <w:lang w:val="es-ES_tradnl"/>
        </w:rPr>
        <w:t xml:space="preserve"> la última tasa de descuento disponible para el título, de acuerdo con la información para valoración suministrada por el proveedor de precios designado como oficial para el segmento correspondiente.</w:t>
      </w:r>
    </w:p>
    <w:p w14:paraId="31DBFD40" w14:textId="77777777" w:rsidR="00F827C9" w:rsidRPr="001050EA" w:rsidRDefault="00F827C9" w:rsidP="007F053E">
      <w:pPr>
        <w:pStyle w:val="Textoindependiente"/>
        <w:ind w:left="284"/>
        <w:rPr>
          <w:spacing w:val="0"/>
          <w:sz w:val="18"/>
          <w:szCs w:val="18"/>
          <w:lang w:val="es-ES_tradnl"/>
        </w:rPr>
      </w:pPr>
    </w:p>
    <w:p w14:paraId="5F8F579D" w14:textId="77777777" w:rsidR="00F827C9" w:rsidRPr="001050EA" w:rsidRDefault="00F827C9" w:rsidP="007F053E">
      <w:pPr>
        <w:pStyle w:val="Textoindependiente"/>
        <w:ind w:left="284"/>
        <w:rPr>
          <w:spacing w:val="0"/>
          <w:sz w:val="18"/>
          <w:szCs w:val="18"/>
          <w:lang w:val="es-ES_tradnl"/>
        </w:rPr>
      </w:pPr>
      <w:r w:rsidRPr="001050EA">
        <w:rPr>
          <w:i/>
          <w:iCs/>
          <w:spacing w:val="0"/>
          <w:sz w:val="18"/>
          <w:szCs w:val="18"/>
          <w:lang w:val="es-ES_tradnl"/>
        </w:rPr>
        <w:t>m</w:t>
      </w:r>
      <w:r w:rsidR="001625E6" w:rsidRPr="001050EA">
        <w:rPr>
          <w:spacing w:val="0"/>
          <w:sz w:val="18"/>
          <w:szCs w:val="18"/>
          <w:lang w:val="es-ES_tradnl"/>
        </w:rPr>
        <w:tab/>
      </w:r>
      <w:r w:rsidRPr="001050EA">
        <w:rPr>
          <w:spacing w:val="0"/>
          <w:sz w:val="18"/>
          <w:szCs w:val="18"/>
          <w:lang w:val="es-ES_tradnl"/>
        </w:rPr>
        <w:t>Número de flujos futuros de efectivo asociados al instrumento.</w:t>
      </w:r>
    </w:p>
    <w:p w14:paraId="19211A4C" w14:textId="77777777" w:rsidR="00F827C9" w:rsidRPr="001050EA" w:rsidRDefault="00F827C9" w:rsidP="007F053E">
      <w:pPr>
        <w:pStyle w:val="Textoindependiente"/>
        <w:ind w:left="284"/>
        <w:rPr>
          <w:spacing w:val="0"/>
          <w:sz w:val="18"/>
          <w:szCs w:val="18"/>
          <w:lang w:val="es-ES_tradnl"/>
        </w:rPr>
      </w:pPr>
    </w:p>
    <w:p w14:paraId="25FA9D8B" w14:textId="77777777" w:rsidR="00F827C9" w:rsidRPr="001050EA" w:rsidRDefault="00F827C9" w:rsidP="007F053E">
      <w:pPr>
        <w:pStyle w:val="Textoindependiente"/>
        <w:ind w:left="284"/>
        <w:rPr>
          <w:spacing w:val="0"/>
          <w:sz w:val="18"/>
          <w:szCs w:val="18"/>
          <w:lang w:val="es-ES_tradnl"/>
        </w:rPr>
      </w:pPr>
      <w:r w:rsidRPr="001050EA">
        <w:rPr>
          <w:spacing w:val="0"/>
          <w:sz w:val="18"/>
          <w:szCs w:val="18"/>
          <w:lang w:val="es-ES_tradnl"/>
        </w:rPr>
        <w:t>La duración deberá ser menor que la madurez contractual del instrumento, salvo en aquellos casos en que el instrumento tiene un único flujo de efectivo que ocurre en la fecha de vencimiento.</w:t>
      </w:r>
    </w:p>
    <w:p w14:paraId="1A7A9F5C" w14:textId="77777777" w:rsidR="00F827C9" w:rsidRPr="001050EA" w:rsidRDefault="00F827C9" w:rsidP="00830C68">
      <w:pPr>
        <w:pStyle w:val="Textoindependiente"/>
        <w:rPr>
          <w:spacing w:val="0"/>
          <w:sz w:val="18"/>
          <w:szCs w:val="18"/>
          <w:lang w:val="es-ES_tradnl"/>
        </w:rPr>
      </w:pPr>
    </w:p>
    <w:p w14:paraId="6D40594C" w14:textId="77777777" w:rsidR="00F827C9" w:rsidRPr="001050EA" w:rsidRDefault="00F827C9" w:rsidP="00830C68">
      <w:pPr>
        <w:pStyle w:val="Textoindependiente"/>
        <w:numPr>
          <w:ilvl w:val="0"/>
          <w:numId w:val="17"/>
        </w:numPr>
        <w:ind w:firstLine="0"/>
        <w:rPr>
          <w:spacing w:val="0"/>
          <w:sz w:val="18"/>
          <w:szCs w:val="18"/>
        </w:rPr>
      </w:pPr>
      <w:r w:rsidRPr="001050EA">
        <w:rPr>
          <w:spacing w:val="0"/>
          <w:sz w:val="18"/>
          <w:szCs w:val="18"/>
        </w:rPr>
        <w:t>Duración de instrumentos pactados a tasa variable con y sin margen.</w:t>
      </w:r>
    </w:p>
    <w:p w14:paraId="58AEA062" w14:textId="77777777" w:rsidR="00F827C9" w:rsidRPr="001050EA" w:rsidRDefault="00F827C9" w:rsidP="00830C68">
      <w:pPr>
        <w:pStyle w:val="Textoindependiente"/>
        <w:rPr>
          <w:spacing w:val="0"/>
          <w:sz w:val="18"/>
          <w:szCs w:val="18"/>
        </w:rPr>
      </w:pPr>
    </w:p>
    <w:p w14:paraId="3E4BBF78" w14:textId="77777777" w:rsidR="00F827C9" w:rsidRPr="001050EA" w:rsidRDefault="00F827C9" w:rsidP="007F053E">
      <w:pPr>
        <w:pStyle w:val="Textoindependiente"/>
        <w:ind w:left="284"/>
        <w:rPr>
          <w:spacing w:val="0"/>
          <w:sz w:val="18"/>
          <w:szCs w:val="18"/>
        </w:rPr>
      </w:pPr>
      <w:r w:rsidRPr="001050EA">
        <w:rPr>
          <w:spacing w:val="0"/>
          <w:sz w:val="18"/>
          <w:szCs w:val="18"/>
        </w:rPr>
        <w:t>Teniendo en cuenta que en la valoración de los instrumentos pactados a tasa variable se tiene en cuenta un margen relacionado con las características del emisor y que, por ende, los flujos de efectivo posteriores a la siguiente fecha de reprecio pueden cambiar de valor ante movimientos en el margen, la duración de estos instrumentos debe ser calculada utilizando la siguiente expresión:</w:t>
      </w:r>
    </w:p>
    <w:p w14:paraId="7AFD3FB3" w14:textId="77777777" w:rsidR="00F827C9" w:rsidRPr="001050EA" w:rsidRDefault="00F827C9" w:rsidP="007F053E">
      <w:pPr>
        <w:pStyle w:val="Textoindependiente"/>
        <w:ind w:left="284" w:hanging="284"/>
        <w:rPr>
          <w:spacing w:val="0"/>
          <w:sz w:val="18"/>
          <w:szCs w:val="18"/>
        </w:rPr>
      </w:pPr>
    </w:p>
    <w:p w14:paraId="60819F73" w14:textId="77777777" w:rsidR="007957FA" w:rsidRPr="001050EA" w:rsidRDefault="00E65CC2" w:rsidP="007F053E">
      <w:pPr>
        <w:pStyle w:val="Textoindependiente"/>
        <w:ind w:left="284" w:hanging="284"/>
        <w:jc w:val="center"/>
        <w:rPr>
          <w:sz w:val="18"/>
          <w:szCs w:val="18"/>
        </w:rPr>
      </w:pPr>
      <w:r w:rsidRPr="001050EA">
        <w:rPr>
          <w:noProof/>
          <w:position w:val="-66"/>
          <w:sz w:val="18"/>
          <w:szCs w:val="18"/>
        </w:rPr>
        <w:object w:dxaOrig="2700" w:dyaOrig="1480" w14:anchorId="7C7F0C61">
          <v:shape id="_x0000_i1027" type="#_x0000_t75" style="width:137.3pt;height:75.35pt" o:ole="">
            <v:imagedata r:id="rId15" o:title=""/>
          </v:shape>
          <o:OLEObject Type="Embed" ProgID="Equation.3" ShapeID="_x0000_i1027" DrawAspect="Content" ObjectID="_1693808684" r:id="rId16"/>
        </w:object>
      </w:r>
    </w:p>
    <w:p w14:paraId="67CEEE7E" w14:textId="77777777" w:rsidR="00F827C9" w:rsidRPr="001050EA" w:rsidRDefault="00F827C9" w:rsidP="007F053E">
      <w:pPr>
        <w:pStyle w:val="Textoindependiente"/>
        <w:ind w:left="284"/>
        <w:rPr>
          <w:spacing w:val="0"/>
          <w:sz w:val="18"/>
          <w:szCs w:val="18"/>
          <w:lang w:val="es-ES_tradnl"/>
        </w:rPr>
      </w:pPr>
      <w:r w:rsidRPr="001050EA">
        <w:rPr>
          <w:spacing w:val="0"/>
          <w:sz w:val="18"/>
          <w:szCs w:val="18"/>
          <w:lang w:val="es-ES_tradnl"/>
        </w:rPr>
        <w:t>Donde:</w:t>
      </w:r>
    </w:p>
    <w:p w14:paraId="08A05150" w14:textId="77777777" w:rsidR="00F827C9" w:rsidRPr="001050EA" w:rsidRDefault="00F827C9" w:rsidP="007F053E">
      <w:pPr>
        <w:pStyle w:val="Textoindependiente"/>
        <w:ind w:left="284"/>
        <w:rPr>
          <w:spacing w:val="0"/>
          <w:sz w:val="18"/>
          <w:szCs w:val="18"/>
          <w:lang w:val="es-ES_tradnl"/>
        </w:rPr>
      </w:pPr>
    </w:p>
    <w:p w14:paraId="095C0F01" w14:textId="6196CB5F" w:rsidR="00F827C9" w:rsidRPr="001050EA" w:rsidRDefault="00F827C9" w:rsidP="007F053E">
      <w:pPr>
        <w:pStyle w:val="Textoindependiente"/>
        <w:ind w:left="284"/>
        <w:rPr>
          <w:spacing w:val="0"/>
          <w:sz w:val="18"/>
          <w:szCs w:val="18"/>
          <w:lang w:val="es-ES_tradnl"/>
        </w:rPr>
      </w:pPr>
      <w:r w:rsidRPr="001050EA">
        <w:rPr>
          <w:i/>
          <w:iCs/>
          <w:spacing w:val="0"/>
          <w:sz w:val="18"/>
          <w:szCs w:val="18"/>
          <w:lang w:val="es-ES_tradnl"/>
        </w:rPr>
        <w:t>Fj</w:t>
      </w:r>
      <w:r w:rsidRPr="001050EA">
        <w:rPr>
          <w:spacing w:val="0"/>
          <w:sz w:val="18"/>
          <w:szCs w:val="18"/>
          <w:lang w:val="es-ES_tradnl"/>
        </w:rPr>
        <w:tab/>
      </w:r>
      <w:r w:rsidRPr="001050EA">
        <w:rPr>
          <w:i/>
          <w:iCs/>
          <w:spacing w:val="0"/>
          <w:sz w:val="18"/>
          <w:szCs w:val="18"/>
          <w:lang w:val="es-ES_tradnl"/>
        </w:rPr>
        <w:t>j-</w:t>
      </w:r>
      <w:r w:rsidRPr="001050EA">
        <w:rPr>
          <w:spacing w:val="0"/>
          <w:sz w:val="18"/>
          <w:szCs w:val="18"/>
          <w:lang w:val="es-ES_tradnl"/>
        </w:rPr>
        <w:t xml:space="preserve">ésimo flujo de fondos del instrumento, </w:t>
      </w:r>
      <w:r w:rsidRPr="001050EA">
        <w:rPr>
          <w:i/>
          <w:iCs/>
          <w:spacing w:val="0"/>
          <w:sz w:val="18"/>
          <w:szCs w:val="18"/>
          <w:lang w:val="es-ES_tradnl"/>
        </w:rPr>
        <w:t>j</w:t>
      </w:r>
      <w:r w:rsidRPr="001050EA">
        <w:rPr>
          <w:spacing w:val="0"/>
          <w:sz w:val="18"/>
          <w:szCs w:val="18"/>
          <w:lang w:val="es-ES_tradnl"/>
        </w:rPr>
        <w:t xml:space="preserve"> =</w:t>
      </w:r>
      <w:r w:rsidRPr="001050EA">
        <w:rPr>
          <w:i/>
          <w:iCs/>
          <w:spacing w:val="0"/>
          <w:sz w:val="18"/>
          <w:szCs w:val="18"/>
          <w:lang w:val="es-ES_tradnl"/>
        </w:rPr>
        <w:t>1, m</w:t>
      </w:r>
      <w:r w:rsidRPr="001050EA">
        <w:rPr>
          <w:spacing w:val="0"/>
          <w:sz w:val="18"/>
          <w:szCs w:val="18"/>
          <w:lang w:val="es-ES_tradnl"/>
        </w:rPr>
        <w:t>.</w:t>
      </w:r>
    </w:p>
    <w:p w14:paraId="2BB861E5" w14:textId="77777777" w:rsidR="00F827C9" w:rsidRPr="001050EA" w:rsidRDefault="00F827C9" w:rsidP="007F053E">
      <w:pPr>
        <w:pStyle w:val="Textoindependiente"/>
        <w:ind w:left="284"/>
        <w:rPr>
          <w:spacing w:val="0"/>
          <w:sz w:val="18"/>
          <w:szCs w:val="18"/>
          <w:lang w:val="es-ES_tradnl"/>
        </w:rPr>
      </w:pPr>
      <w:r w:rsidRPr="001050EA">
        <w:rPr>
          <w:i/>
          <w:iCs/>
          <w:spacing w:val="0"/>
          <w:sz w:val="18"/>
          <w:szCs w:val="18"/>
          <w:lang w:val="es-ES_tradnl"/>
        </w:rPr>
        <w:t>t</w:t>
      </w:r>
      <w:r w:rsidRPr="001050EA">
        <w:rPr>
          <w:i/>
          <w:iCs/>
          <w:spacing w:val="0"/>
          <w:sz w:val="18"/>
          <w:szCs w:val="18"/>
          <w:vertAlign w:val="subscript"/>
          <w:lang w:val="es-ES_tradnl"/>
        </w:rPr>
        <w:t>j</w:t>
      </w:r>
      <w:r w:rsidRPr="001050EA">
        <w:rPr>
          <w:i/>
          <w:iCs/>
          <w:spacing w:val="0"/>
          <w:sz w:val="18"/>
          <w:szCs w:val="18"/>
          <w:vertAlign w:val="subscript"/>
          <w:lang w:val="es-ES_tradnl"/>
        </w:rPr>
        <w:tab/>
      </w:r>
      <w:r w:rsidRPr="001050EA">
        <w:rPr>
          <w:spacing w:val="0"/>
          <w:sz w:val="18"/>
          <w:szCs w:val="18"/>
          <w:lang w:val="es-ES_tradnl"/>
        </w:rPr>
        <w:t xml:space="preserve">tiempo restante hasta el </w:t>
      </w:r>
      <w:r w:rsidRPr="001050EA">
        <w:rPr>
          <w:i/>
          <w:iCs/>
          <w:spacing w:val="0"/>
          <w:sz w:val="18"/>
          <w:szCs w:val="18"/>
          <w:lang w:val="es-ES_tradnl"/>
        </w:rPr>
        <w:t>j-</w:t>
      </w:r>
      <w:r w:rsidRPr="001050EA">
        <w:rPr>
          <w:spacing w:val="0"/>
          <w:sz w:val="18"/>
          <w:szCs w:val="18"/>
          <w:lang w:val="es-ES_tradnl"/>
        </w:rPr>
        <w:t>ésimo flujo medido en número de años (número de días/365).</w:t>
      </w:r>
    </w:p>
    <w:p w14:paraId="5B90616F" w14:textId="77777777" w:rsidR="00F827C9" w:rsidRPr="001050EA" w:rsidRDefault="00F827C9" w:rsidP="007F053E">
      <w:pPr>
        <w:pStyle w:val="Textoindependiente"/>
        <w:ind w:left="284"/>
        <w:rPr>
          <w:spacing w:val="0"/>
          <w:sz w:val="18"/>
          <w:szCs w:val="18"/>
          <w:lang w:val="es-ES_tradnl"/>
        </w:rPr>
      </w:pPr>
      <w:r w:rsidRPr="001050EA">
        <w:rPr>
          <w:i/>
          <w:iCs/>
          <w:spacing w:val="0"/>
          <w:sz w:val="18"/>
          <w:szCs w:val="18"/>
          <w:lang w:val="es-ES_tradnl"/>
        </w:rPr>
        <w:t>FD</w:t>
      </w:r>
      <w:r w:rsidRPr="001050EA">
        <w:rPr>
          <w:spacing w:val="0"/>
          <w:sz w:val="18"/>
          <w:szCs w:val="18"/>
          <w:lang w:val="es-ES_tradnl"/>
        </w:rPr>
        <w:tab/>
        <w:t>Último factor de descuento disponible en la fecha de cálculo, de acuerdo con la información para valoración suministrada por el proveedor de precios designado como oficial para el segmento correspondiente.</w:t>
      </w:r>
    </w:p>
    <w:p w14:paraId="4CF6D7F5" w14:textId="77777777" w:rsidR="00F827C9" w:rsidRPr="001050EA" w:rsidRDefault="00F827C9" w:rsidP="007F053E">
      <w:pPr>
        <w:pStyle w:val="Textoindependiente"/>
        <w:ind w:left="284"/>
        <w:rPr>
          <w:spacing w:val="0"/>
          <w:sz w:val="18"/>
          <w:szCs w:val="18"/>
          <w:lang w:val="es-ES_tradnl"/>
        </w:rPr>
      </w:pPr>
      <w:r w:rsidRPr="001050EA">
        <w:rPr>
          <w:i/>
          <w:iCs/>
          <w:spacing w:val="0"/>
          <w:sz w:val="18"/>
          <w:szCs w:val="18"/>
          <w:lang w:val="es-ES_tradnl"/>
        </w:rPr>
        <w:t>m</w:t>
      </w:r>
      <w:r w:rsidR="007957FA" w:rsidRPr="001050EA">
        <w:rPr>
          <w:spacing w:val="0"/>
          <w:sz w:val="18"/>
          <w:szCs w:val="18"/>
          <w:lang w:val="es-ES_tradnl"/>
        </w:rPr>
        <w:tab/>
      </w:r>
      <w:r w:rsidRPr="001050EA">
        <w:rPr>
          <w:spacing w:val="0"/>
          <w:sz w:val="18"/>
          <w:szCs w:val="18"/>
          <w:lang w:val="es-ES_tradnl"/>
        </w:rPr>
        <w:t>Número de flujos futuros de efectivo asociados al instrumento.</w:t>
      </w:r>
    </w:p>
    <w:p w14:paraId="34C7BCC7" w14:textId="77777777" w:rsidR="00F827C9" w:rsidRPr="001050EA" w:rsidRDefault="00F827C9" w:rsidP="007F053E">
      <w:pPr>
        <w:pStyle w:val="Textoindependiente"/>
        <w:ind w:left="284"/>
        <w:rPr>
          <w:spacing w:val="0"/>
          <w:sz w:val="18"/>
          <w:szCs w:val="18"/>
        </w:rPr>
      </w:pPr>
    </w:p>
    <w:p w14:paraId="6DA1F1E9" w14:textId="77777777" w:rsidR="00F827C9" w:rsidRPr="001050EA" w:rsidRDefault="00F827C9" w:rsidP="007F053E">
      <w:pPr>
        <w:pStyle w:val="Textoindependiente"/>
        <w:ind w:left="284"/>
        <w:rPr>
          <w:spacing w:val="0"/>
          <w:sz w:val="18"/>
          <w:szCs w:val="18"/>
        </w:rPr>
      </w:pPr>
      <w:r w:rsidRPr="001050EA">
        <w:rPr>
          <w:spacing w:val="0"/>
          <w:sz w:val="18"/>
          <w:szCs w:val="18"/>
        </w:rPr>
        <w:t xml:space="preserve">Sin embargo, la duración de los títulos “tasa variable” pactados a tasas de referencia internacionales corresponderá al periodo de tiempo existente hasta el siguiente reprecio, es decir, hasta el siguiente momento en que se revise la tasa para calcular el pago del cupón. Dicha duración deberá ser calculada en número de años. </w:t>
      </w:r>
    </w:p>
    <w:p w14:paraId="2F19C29A" w14:textId="77777777" w:rsidR="00E857B7" w:rsidRPr="001050EA" w:rsidRDefault="00E857B7" w:rsidP="007F053E">
      <w:pPr>
        <w:pStyle w:val="Textoindependiente"/>
        <w:ind w:left="284" w:hanging="284"/>
        <w:rPr>
          <w:bCs/>
          <w:spacing w:val="0"/>
          <w:sz w:val="18"/>
          <w:szCs w:val="18"/>
          <w:lang w:val="es-ES_tradnl"/>
        </w:rPr>
      </w:pPr>
    </w:p>
    <w:p w14:paraId="08BB24B9" w14:textId="77777777" w:rsidR="00F827C9" w:rsidRPr="001050EA" w:rsidRDefault="00F827C9" w:rsidP="007F053E">
      <w:pPr>
        <w:pStyle w:val="Textoindependiente"/>
        <w:numPr>
          <w:ilvl w:val="0"/>
          <w:numId w:val="17"/>
        </w:numPr>
        <w:ind w:left="284" w:hanging="284"/>
        <w:rPr>
          <w:spacing w:val="0"/>
          <w:sz w:val="18"/>
          <w:szCs w:val="18"/>
        </w:rPr>
      </w:pPr>
      <w:r w:rsidRPr="001050EA">
        <w:rPr>
          <w:spacing w:val="0"/>
          <w:sz w:val="18"/>
          <w:szCs w:val="18"/>
        </w:rPr>
        <w:t>Duración de instrumentos pactados en UVR.</w:t>
      </w:r>
    </w:p>
    <w:p w14:paraId="0E7C8362" w14:textId="77777777" w:rsidR="00F827C9" w:rsidRPr="001050EA" w:rsidRDefault="00F827C9" w:rsidP="007F053E">
      <w:pPr>
        <w:pStyle w:val="Textoindependiente"/>
        <w:ind w:left="284" w:hanging="284"/>
        <w:rPr>
          <w:spacing w:val="0"/>
          <w:sz w:val="18"/>
          <w:szCs w:val="18"/>
        </w:rPr>
      </w:pPr>
    </w:p>
    <w:p w14:paraId="59C90697" w14:textId="77777777" w:rsidR="00F827C9" w:rsidRPr="001050EA" w:rsidRDefault="00F827C9" w:rsidP="007F053E">
      <w:pPr>
        <w:pStyle w:val="Textoindependiente"/>
        <w:ind w:left="284"/>
        <w:rPr>
          <w:spacing w:val="0"/>
          <w:sz w:val="18"/>
          <w:szCs w:val="18"/>
        </w:rPr>
      </w:pPr>
      <w:r w:rsidRPr="001050EA">
        <w:rPr>
          <w:spacing w:val="0"/>
          <w:sz w:val="18"/>
          <w:szCs w:val="18"/>
        </w:rPr>
        <w:t>Para calcular la duración de los instrumentos financieros pactados en Unidades de Valor Real (UVR), los flujos futuros de efectivo deben proyectarse teniendo en cuenta la tasa pactada en UVR. La duración en este caso se calcula siguiendo el procedimiento establecido en el inciso a) del presente numeral.</w:t>
      </w:r>
    </w:p>
    <w:p w14:paraId="100EAD58" w14:textId="77777777" w:rsidR="00F827C9" w:rsidRPr="001050EA" w:rsidRDefault="00F827C9" w:rsidP="007F053E">
      <w:pPr>
        <w:pStyle w:val="Textoindependiente"/>
        <w:ind w:left="284"/>
        <w:rPr>
          <w:spacing w:val="0"/>
          <w:sz w:val="18"/>
          <w:szCs w:val="18"/>
        </w:rPr>
      </w:pPr>
    </w:p>
    <w:p w14:paraId="1E1CBE52" w14:textId="77777777" w:rsidR="00F827C9" w:rsidRPr="001050EA" w:rsidRDefault="00F827C9" w:rsidP="007F053E">
      <w:pPr>
        <w:pStyle w:val="Textoindependiente"/>
        <w:ind w:left="284"/>
        <w:rPr>
          <w:spacing w:val="0"/>
          <w:sz w:val="18"/>
          <w:szCs w:val="18"/>
        </w:rPr>
      </w:pPr>
      <w:r w:rsidRPr="001050EA">
        <w:rPr>
          <w:spacing w:val="0"/>
          <w:sz w:val="18"/>
          <w:szCs w:val="18"/>
        </w:rPr>
        <w:t>Cabe aclarar que el cálculo de la duración no se ve afectado por la unidad en que estén denominados los flujos de efectivo al momento de realizarlo.</w:t>
      </w:r>
    </w:p>
    <w:p w14:paraId="4FBE0FDA" w14:textId="77777777" w:rsidR="00F827C9" w:rsidRPr="001050EA" w:rsidRDefault="00F827C9" w:rsidP="007F053E">
      <w:pPr>
        <w:pStyle w:val="Textoindependiente"/>
        <w:ind w:left="284" w:hanging="284"/>
        <w:rPr>
          <w:spacing w:val="0"/>
          <w:sz w:val="18"/>
          <w:szCs w:val="18"/>
        </w:rPr>
      </w:pPr>
    </w:p>
    <w:p w14:paraId="497303A6" w14:textId="77777777" w:rsidR="00F827C9" w:rsidRPr="001050EA" w:rsidRDefault="00F827C9" w:rsidP="007F053E">
      <w:pPr>
        <w:pStyle w:val="Textoindependiente"/>
        <w:numPr>
          <w:ilvl w:val="0"/>
          <w:numId w:val="17"/>
        </w:numPr>
        <w:ind w:left="284" w:hanging="284"/>
        <w:rPr>
          <w:spacing w:val="0"/>
          <w:sz w:val="18"/>
          <w:szCs w:val="18"/>
        </w:rPr>
      </w:pPr>
      <w:r w:rsidRPr="001050EA">
        <w:rPr>
          <w:spacing w:val="0"/>
          <w:sz w:val="18"/>
          <w:szCs w:val="18"/>
        </w:rPr>
        <w:t>Duración de instrumentos pactados en moneda extranjera.</w:t>
      </w:r>
    </w:p>
    <w:p w14:paraId="5C5FCEE5" w14:textId="77777777" w:rsidR="00F827C9" w:rsidRPr="001050EA" w:rsidRDefault="00F827C9" w:rsidP="007F053E">
      <w:pPr>
        <w:pStyle w:val="Textoindependiente"/>
        <w:ind w:left="284" w:hanging="284"/>
        <w:rPr>
          <w:spacing w:val="0"/>
          <w:sz w:val="18"/>
          <w:szCs w:val="18"/>
        </w:rPr>
      </w:pPr>
    </w:p>
    <w:p w14:paraId="62910DFE" w14:textId="3EAFD57A" w:rsidR="00F827C9" w:rsidRPr="001050EA" w:rsidRDefault="00F827C9" w:rsidP="007F053E">
      <w:pPr>
        <w:pStyle w:val="Textoindependiente"/>
        <w:ind w:left="284"/>
        <w:rPr>
          <w:spacing w:val="0"/>
          <w:sz w:val="18"/>
          <w:szCs w:val="18"/>
        </w:rPr>
      </w:pPr>
      <w:r w:rsidRPr="001050EA">
        <w:rPr>
          <w:spacing w:val="0"/>
          <w:sz w:val="18"/>
          <w:szCs w:val="18"/>
        </w:rPr>
        <w:t>Para calcular la duración de los instrumentos financieros pactados en moneda extranjera, los flujos futuros de efectivo deben proyectarse teniendo en cuenta la tasa pactada en la moneda original. La duración en este caso se calcula siguiendo el procedimiento establecido en los literales a</w:t>
      </w:r>
      <w:r w:rsidR="00961B50" w:rsidRPr="001050EA">
        <w:rPr>
          <w:spacing w:val="0"/>
          <w:sz w:val="18"/>
          <w:szCs w:val="18"/>
        </w:rPr>
        <w:t>.</w:t>
      </w:r>
      <w:r w:rsidRPr="001050EA">
        <w:rPr>
          <w:spacing w:val="0"/>
          <w:sz w:val="18"/>
          <w:szCs w:val="18"/>
        </w:rPr>
        <w:t xml:space="preserve"> y b</w:t>
      </w:r>
      <w:r w:rsidR="00961B50" w:rsidRPr="001050EA">
        <w:rPr>
          <w:spacing w:val="0"/>
          <w:sz w:val="18"/>
          <w:szCs w:val="18"/>
        </w:rPr>
        <w:t>.</w:t>
      </w:r>
      <w:r w:rsidRPr="001050EA">
        <w:rPr>
          <w:spacing w:val="0"/>
          <w:sz w:val="18"/>
          <w:szCs w:val="18"/>
        </w:rPr>
        <w:t xml:space="preserve"> del presente </w:t>
      </w:r>
      <w:r w:rsidR="00961B50" w:rsidRPr="001050EA">
        <w:rPr>
          <w:spacing w:val="0"/>
          <w:sz w:val="18"/>
          <w:szCs w:val="18"/>
        </w:rPr>
        <w:t>sub</w:t>
      </w:r>
      <w:r w:rsidRPr="001050EA">
        <w:rPr>
          <w:spacing w:val="0"/>
          <w:sz w:val="18"/>
          <w:szCs w:val="18"/>
        </w:rPr>
        <w:t>numeral.</w:t>
      </w:r>
    </w:p>
    <w:p w14:paraId="71D2AB34" w14:textId="77777777" w:rsidR="00F827C9" w:rsidRPr="001050EA" w:rsidRDefault="00F827C9" w:rsidP="007F053E">
      <w:pPr>
        <w:pStyle w:val="Textoindependiente"/>
        <w:ind w:left="284"/>
        <w:rPr>
          <w:spacing w:val="0"/>
          <w:sz w:val="18"/>
          <w:szCs w:val="18"/>
        </w:rPr>
      </w:pPr>
    </w:p>
    <w:p w14:paraId="39FED33E" w14:textId="77777777" w:rsidR="00F827C9" w:rsidRPr="001050EA" w:rsidRDefault="00F827C9" w:rsidP="007F053E">
      <w:pPr>
        <w:pStyle w:val="Textoindependiente"/>
        <w:ind w:left="284"/>
        <w:rPr>
          <w:spacing w:val="0"/>
          <w:sz w:val="18"/>
          <w:szCs w:val="18"/>
        </w:rPr>
      </w:pPr>
      <w:r w:rsidRPr="001050EA">
        <w:rPr>
          <w:spacing w:val="0"/>
          <w:sz w:val="18"/>
          <w:szCs w:val="18"/>
        </w:rPr>
        <w:t>Cabe aclarar que el cálculo de la duración no se ve afectado por la unidad en que estén denominados los flujos de efectivo al momento de realizarlo.</w:t>
      </w:r>
    </w:p>
    <w:p w14:paraId="7FFAB3FB" w14:textId="77777777" w:rsidR="00F827C9" w:rsidRPr="001050EA" w:rsidRDefault="00F827C9" w:rsidP="007F053E">
      <w:pPr>
        <w:pStyle w:val="Textoindependiente"/>
        <w:ind w:left="284" w:hanging="284"/>
        <w:rPr>
          <w:spacing w:val="0"/>
          <w:sz w:val="18"/>
          <w:szCs w:val="18"/>
        </w:rPr>
      </w:pPr>
    </w:p>
    <w:p w14:paraId="4FD7A8CE" w14:textId="77777777" w:rsidR="00F827C9" w:rsidRPr="001050EA" w:rsidRDefault="00F827C9" w:rsidP="007F053E">
      <w:pPr>
        <w:pStyle w:val="Textoindependiente"/>
        <w:numPr>
          <w:ilvl w:val="0"/>
          <w:numId w:val="17"/>
        </w:numPr>
        <w:ind w:left="284" w:hanging="284"/>
        <w:rPr>
          <w:spacing w:val="0"/>
          <w:sz w:val="18"/>
          <w:szCs w:val="18"/>
        </w:rPr>
      </w:pPr>
      <w:r w:rsidRPr="001050EA">
        <w:rPr>
          <w:spacing w:val="0"/>
          <w:sz w:val="18"/>
          <w:szCs w:val="18"/>
        </w:rPr>
        <w:t>Duración de instrumentos con opción de prepagos.</w:t>
      </w:r>
    </w:p>
    <w:p w14:paraId="1F73D429" w14:textId="77777777" w:rsidR="00F827C9" w:rsidRPr="001050EA" w:rsidRDefault="00F827C9" w:rsidP="007F053E">
      <w:pPr>
        <w:pStyle w:val="Textoindependiente"/>
        <w:ind w:left="284" w:hanging="284"/>
        <w:rPr>
          <w:spacing w:val="0"/>
          <w:sz w:val="18"/>
          <w:szCs w:val="18"/>
        </w:rPr>
      </w:pPr>
    </w:p>
    <w:p w14:paraId="399EDCE5" w14:textId="7E6D81B2" w:rsidR="00F827C9" w:rsidRPr="001050EA" w:rsidRDefault="00F827C9" w:rsidP="007F053E">
      <w:pPr>
        <w:pStyle w:val="Textoindependiente"/>
        <w:ind w:left="284"/>
        <w:rPr>
          <w:spacing w:val="0"/>
          <w:sz w:val="18"/>
          <w:szCs w:val="18"/>
        </w:rPr>
      </w:pPr>
      <w:r w:rsidRPr="001050EA">
        <w:rPr>
          <w:spacing w:val="0"/>
          <w:sz w:val="18"/>
          <w:szCs w:val="18"/>
        </w:rPr>
        <w:t xml:space="preserve">En el caso de los títulos que incorporen opción de prepagos, su duración se debe calcular de acuerdo con la expresión mencionada en el literal a), utilizándose como referencia los escenarios de prepago que se </w:t>
      </w:r>
      <w:r w:rsidRPr="001050EA">
        <w:rPr>
          <w:spacing w:val="0"/>
          <w:sz w:val="18"/>
          <w:szCs w:val="18"/>
        </w:rPr>
        <w:lastRenderedPageBreak/>
        <w:t xml:space="preserve">emplean para su valoración </w:t>
      </w:r>
      <w:r w:rsidR="00E857B7" w:rsidRPr="001050EA">
        <w:rPr>
          <w:spacing w:val="0"/>
          <w:sz w:val="18"/>
          <w:szCs w:val="18"/>
        </w:rPr>
        <w:t>a valor razonable</w:t>
      </w:r>
      <w:r w:rsidRPr="001050EA">
        <w:rPr>
          <w:spacing w:val="0"/>
          <w:sz w:val="18"/>
          <w:szCs w:val="18"/>
        </w:rPr>
        <w:t>, de acuerdo con lo establecido en el capítulo I</w:t>
      </w:r>
      <w:r w:rsidR="00E857B7" w:rsidRPr="001050EA">
        <w:rPr>
          <w:spacing w:val="0"/>
          <w:sz w:val="18"/>
          <w:szCs w:val="18"/>
        </w:rPr>
        <w:t>-1</w:t>
      </w:r>
      <w:r w:rsidRPr="001050EA">
        <w:rPr>
          <w:spacing w:val="0"/>
          <w:sz w:val="18"/>
          <w:szCs w:val="18"/>
        </w:rPr>
        <w:t xml:space="preserve"> de la</w:t>
      </w:r>
      <w:r w:rsidR="0024376A" w:rsidRPr="001050EA">
        <w:rPr>
          <w:spacing w:val="0"/>
          <w:sz w:val="18"/>
          <w:szCs w:val="18"/>
        </w:rPr>
        <w:t xml:space="preserve"> CBCF </w:t>
      </w:r>
      <w:r w:rsidRPr="001050EA">
        <w:rPr>
          <w:spacing w:val="0"/>
          <w:sz w:val="18"/>
          <w:szCs w:val="18"/>
        </w:rPr>
        <w:t xml:space="preserve">o en el </w:t>
      </w:r>
      <w:r w:rsidR="0024376A" w:rsidRPr="001050EA">
        <w:rPr>
          <w:spacing w:val="0"/>
          <w:sz w:val="18"/>
          <w:szCs w:val="18"/>
        </w:rPr>
        <w:t>Decreto 2555 de 2010</w:t>
      </w:r>
      <w:r w:rsidRPr="001050EA">
        <w:rPr>
          <w:spacing w:val="0"/>
          <w:sz w:val="18"/>
          <w:szCs w:val="18"/>
        </w:rPr>
        <w:t>, según sea el caso.</w:t>
      </w:r>
    </w:p>
    <w:p w14:paraId="1E8D1948" w14:textId="77777777" w:rsidR="00F827C9" w:rsidRPr="001050EA" w:rsidRDefault="00F827C9" w:rsidP="00830C68">
      <w:pPr>
        <w:pStyle w:val="Textoindependiente"/>
        <w:ind w:left="708"/>
        <w:rPr>
          <w:spacing w:val="0"/>
          <w:sz w:val="18"/>
          <w:szCs w:val="18"/>
        </w:rPr>
      </w:pPr>
    </w:p>
    <w:p w14:paraId="260F9BB3" w14:textId="16D18EF2" w:rsidR="00F827C9" w:rsidRPr="001050EA" w:rsidRDefault="005541D0" w:rsidP="00830C68">
      <w:pPr>
        <w:pStyle w:val="Textoindependiente"/>
        <w:rPr>
          <w:bCs/>
          <w:spacing w:val="0"/>
          <w:sz w:val="18"/>
          <w:szCs w:val="18"/>
        </w:rPr>
      </w:pPr>
      <w:r w:rsidRPr="001050EA">
        <w:rPr>
          <w:spacing w:val="0"/>
          <w:sz w:val="18"/>
          <w:szCs w:val="18"/>
        </w:rPr>
        <w:t xml:space="preserve">2.1.2.1.2 </w:t>
      </w:r>
      <w:r w:rsidR="00F827C9" w:rsidRPr="001050EA">
        <w:rPr>
          <w:spacing w:val="0"/>
          <w:sz w:val="18"/>
          <w:szCs w:val="18"/>
        </w:rPr>
        <w:t>Cálculo de los componentes de la exposición a riesgo de tasas de interés</w:t>
      </w:r>
    </w:p>
    <w:p w14:paraId="3FD4F2E0" w14:textId="77777777" w:rsidR="00F827C9" w:rsidRPr="001050EA" w:rsidRDefault="00F827C9" w:rsidP="00830C68">
      <w:pPr>
        <w:pStyle w:val="Textoindependiente"/>
        <w:rPr>
          <w:b/>
          <w:bCs/>
          <w:spacing w:val="0"/>
          <w:sz w:val="18"/>
          <w:szCs w:val="18"/>
        </w:rPr>
      </w:pPr>
    </w:p>
    <w:p w14:paraId="677654D6" w14:textId="77777777" w:rsidR="00F827C9" w:rsidRPr="001050EA" w:rsidRDefault="00F827C9" w:rsidP="00830C68">
      <w:pPr>
        <w:pStyle w:val="Textoindependiente"/>
        <w:rPr>
          <w:spacing w:val="0"/>
          <w:sz w:val="18"/>
          <w:szCs w:val="18"/>
        </w:rPr>
      </w:pPr>
      <w:r w:rsidRPr="001050EA">
        <w:rPr>
          <w:spacing w:val="0"/>
          <w:sz w:val="18"/>
          <w:szCs w:val="18"/>
        </w:rPr>
        <w:t>Para calcular la exposición al riesgo de tasa de interés deben seguirse los siguientes pasos:</w:t>
      </w:r>
    </w:p>
    <w:p w14:paraId="41A1914D" w14:textId="77777777" w:rsidR="00F827C9" w:rsidRPr="001050EA" w:rsidRDefault="00F827C9" w:rsidP="00830C68">
      <w:pPr>
        <w:pStyle w:val="Textoindependiente"/>
        <w:rPr>
          <w:spacing w:val="0"/>
          <w:sz w:val="18"/>
          <w:szCs w:val="18"/>
        </w:rPr>
      </w:pPr>
    </w:p>
    <w:p w14:paraId="6E4FFE9A" w14:textId="5D31D706" w:rsidR="00F827C9" w:rsidRPr="001050EA" w:rsidRDefault="00F827C9" w:rsidP="00830C68">
      <w:pPr>
        <w:pStyle w:val="Normal9pt"/>
        <w:numPr>
          <w:ilvl w:val="0"/>
          <w:numId w:val="13"/>
        </w:numPr>
        <w:ind w:left="284" w:hanging="284"/>
      </w:pPr>
      <w:r w:rsidRPr="001050EA">
        <w:t>Cálculo de las sensibilidades</w:t>
      </w:r>
      <w:r w:rsidR="00DD54F7" w:rsidRPr="001050EA">
        <w:t>.</w:t>
      </w:r>
    </w:p>
    <w:p w14:paraId="0DE74CAA" w14:textId="77777777" w:rsidR="007957FA" w:rsidRPr="001050EA" w:rsidRDefault="007957FA" w:rsidP="00830C68">
      <w:pPr>
        <w:pStyle w:val="Normal9pt"/>
        <w:numPr>
          <w:ilvl w:val="0"/>
          <w:numId w:val="0"/>
        </w:numPr>
      </w:pPr>
    </w:p>
    <w:p w14:paraId="7D74CCD4" w14:textId="3846459A" w:rsidR="001625E6" w:rsidRPr="001050EA" w:rsidRDefault="007957FA" w:rsidP="006655C4">
      <w:pPr>
        <w:pStyle w:val="Textoindependiente"/>
        <w:numPr>
          <w:ilvl w:val="0"/>
          <w:numId w:val="31"/>
        </w:numPr>
        <w:tabs>
          <w:tab w:val="clear" w:pos="720"/>
        </w:tabs>
        <w:ind w:left="567" w:hanging="283"/>
        <w:rPr>
          <w:spacing w:val="0"/>
          <w:sz w:val="18"/>
          <w:szCs w:val="18"/>
        </w:rPr>
      </w:pPr>
      <w:r w:rsidRPr="001050EA">
        <w:rPr>
          <w:spacing w:val="0"/>
          <w:sz w:val="18"/>
          <w:szCs w:val="18"/>
        </w:rPr>
        <w:t xml:space="preserve">La sensibilidad neta de las posiciones en cada instrumento frente a cambios en la tasa de </w:t>
      </w:r>
      <w:r w:rsidR="00A64C93" w:rsidRPr="001050EA">
        <w:rPr>
          <w:spacing w:val="0"/>
          <w:sz w:val="18"/>
          <w:szCs w:val="18"/>
        </w:rPr>
        <w:t>interés</w:t>
      </w:r>
      <w:r w:rsidRPr="001050EA">
        <w:rPr>
          <w:spacing w:val="0"/>
          <w:sz w:val="18"/>
          <w:szCs w:val="18"/>
        </w:rPr>
        <w:t xml:space="preserve"> debe calcularse multiplicando la posición neta en dicho instrumento por su duración modificada y por el cambio asumido en la tasa de interés para la banda y moneda correspondientes según lo registrado en la Tabla 1.  </w:t>
      </w:r>
    </w:p>
    <w:p w14:paraId="637D1797" w14:textId="77777777" w:rsidR="000C75E6" w:rsidRPr="001050EA" w:rsidRDefault="000C75E6" w:rsidP="006655C4">
      <w:pPr>
        <w:pStyle w:val="Normal9pt"/>
        <w:numPr>
          <w:ilvl w:val="0"/>
          <w:numId w:val="0"/>
        </w:numPr>
        <w:ind w:left="567" w:hanging="283"/>
      </w:pPr>
    </w:p>
    <w:p w14:paraId="20FFE263" w14:textId="1F0E1E57" w:rsidR="00262337" w:rsidRPr="001050EA" w:rsidRDefault="00262337" w:rsidP="006655C4">
      <w:pPr>
        <w:pStyle w:val="Normal9pt"/>
        <w:numPr>
          <w:ilvl w:val="0"/>
          <w:numId w:val="0"/>
        </w:numPr>
        <w:ind w:left="567"/>
      </w:pPr>
      <w:r w:rsidRPr="001050EA">
        <w:t xml:space="preserve">Para los títulos “tasa variable” pactados a tasas de referencia nacionales, los cambios en tasa de interés aplicables para la realización del cálculo de esta sensibilidad neta corresponderán al respectivo choque de tasas registrado en la Tabla 1 para la moneda correspondiente.  </w:t>
      </w:r>
    </w:p>
    <w:p w14:paraId="7F980548" w14:textId="1F0E1E57" w:rsidR="00262337" w:rsidRPr="001050EA" w:rsidRDefault="00262337" w:rsidP="006655C4">
      <w:pPr>
        <w:pStyle w:val="Normal9pt"/>
        <w:numPr>
          <w:ilvl w:val="0"/>
          <w:numId w:val="0"/>
        </w:numPr>
        <w:ind w:left="567" w:hanging="283"/>
      </w:pPr>
    </w:p>
    <w:p w14:paraId="0C0FB3E3" w14:textId="1F0E1E57" w:rsidR="001625E6" w:rsidRPr="001050EA" w:rsidRDefault="001625E6" w:rsidP="006655C4">
      <w:pPr>
        <w:pStyle w:val="Normal9pt"/>
        <w:numPr>
          <w:ilvl w:val="0"/>
          <w:numId w:val="0"/>
        </w:numPr>
        <w:ind w:left="567"/>
      </w:pPr>
      <w:r w:rsidRPr="001050EA">
        <w:t>Para las escaleras de moneda extranjera y Unidad de Valor Real (UVR), las posiciones netas deben ser expresadas en términos de moneda legal, de forma tal que las sensibilidades obtenidas estén denominadas en una única moneda.</w:t>
      </w:r>
    </w:p>
    <w:p w14:paraId="5174D33F" w14:textId="1F0E1E57" w:rsidR="001625E6" w:rsidRPr="001050EA" w:rsidRDefault="001625E6" w:rsidP="006655C4">
      <w:pPr>
        <w:pStyle w:val="Normal9pt"/>
        <w:numPr>
          <w:ilvl w:val="0"/>
          <w:numId w:val="0"/>
        </w:numPr>
        <w:ind w:left="567" w:hanging="283"/>
      </w:pPr>
    </w:p>
    <w:p w14:paraId="09D8F22E" w14:textId="7EF5D18F" w:rsidR="001625E6" w:rsidRPr="001050EA" w:rsidRDefault="00246927" w:rsidP="006655C4">
      <w:pPr>
        <w:pStyle w:val="Textoindependiente"/>
        <w:numPr>
          <w:ilvl w:val="0"/>
          <w:numId w:val="31"/>
        </w:numPr>
        <w:tabs>
          <w:tab w:val="clear" w:pos="720"/>
        </w:tabs>
        <w:ind w:left="567" w:hanging="283"/>
        <w:rPr>
          <w:spacing w:val="0"/>
          <w:sz w:val="18"/>
          <w:szCs w:val="18"/>
        </w:rPr>
      </w:pPr>
      <w:r w:rsidRPr="001050EA">
        <w:rPr>
          <w:spacing w:val="0"/>
          <w:sz w:val="18"/>
          <w:szCs w:val="18"/>
        </w:rPr>
        <w:t>Dichas sensibilidades netas se clasifican en las escaleras de bandas correspondientes a la moneda de denominación del instrumento. Para cada una de estas escaleras se calculará separadamente la exposición a riesgo de tasa de interés, razón por la cual los procedimientos referidos en los numerales siguientes deben ser realizados de manera independiente sin efectuar ajustes entre sensibilidades de posiciones denominadas en unidades diferentes.</w:t>
      </w:r>
    </w:p>
    <w:p w14:paraId="62CF7D77" w14:textId="77777777" w:rsidR="001625E6" w:rsidRPr="001050EA" w:rsidRDefault="001625E6" w:rsidP="006655C4">
      <w:pPr>
        <w:pStyle w:val="Textoindependiente"/>
        <w:ind w:left="567" w:hanging="283"/>
        <w:rPr>
          <w:spacing w:val="0"/>
          <w:sz w:val="18"/>
          <w:szCs w:val="18"/>
        </w:rPr>
      </w:pPr>
    </w:p>
    <w:p w14:paraId="0C5B2574" w14:textId="6C97E2EF" w:rsidR="001625E6" w:rsidRPr="001050EA" w:rsidRDefault="00246927" w:rsidP="006655C4">
      <w:pPr>
        <w:pStyle w:val="Textoindependiente"/>
        <w:numPr>
          <w:ilvl w:val="0"/>
          <w:numId w:val="31"/>
        </w:numPr>
        <w:tabs>
          <w:tab w:val="clear" w:pos="720"/>
        </w:tabs>
        <w:ind w:left="567" w:hanging="283"/>
        <w:rPr>
          <w:spacing w:val="0"/>
          <w:sz w:val="18"/>
          <w:szCs w:val="18"/>
        </w:rPr>
      </w:pPr>
      <w:r w:rsidRPr="001050EA">
        <w:rPr>
          <w:spacing w:val="0"/>
          <w:sz w:val="18"/>
          <w:szCs w:val="18"/>
        </w:rPr>
        <w:t>Se calcula la sensibilidad neta de cada banda como la diferencia entre la suma de las sensibilidades de las posiciones largas y la suma de las sensibilidades de las posiciones cortas clasificadas en la banda en cuestión</w:t>
      </w:r>
      <w:r w:rsidR="000C3F60" w:rsidRPr="001050EA">
        <w:rPr>
          <w:spacing w:val="0"/>
          <w:sz w:val="18"/>
          <w:szCs w:val="18"/>
        </w:rPr>
        <w:t>.</w:t>
      </w:r>
      <w:r w:rsidRPr="001050EA">
        <w:rPr>
          <w:spacing w:val="0"/>
          <w:sz w:val="18"/>
          <w:szCs w:val="18"/>
        </w:rPr>
        <w:t xml:space="preserve"> </w:t>
      </w:r>
    </w:p>
    <w:p w14:paraId="29BBABB6" w14:textId="77777777" w:rsidR="00914A84" w:rsidRPr="001050EA" w:rsidRDefault="00914A84" w:rsidP="006655C4">
      <w:pPr>
        <w:pStyle w:val="Textoindependiente"/>
        <w:ind w:left="567" w:hanging="283"/>
        <w:rPr>
          <w:spacing w:val="0"/>
          <w:sz w:val="18"/>
          <w:szCs w:val="18"/>
        </w:rPr>
      </w:pPr>
    </w:p>
    <w:p w14:paraId="0589E7A4" w14:textId="613AA80B" w:rsidR="001625E6" w:rsidRPr="001050EA" w:rsidRDefault="00246927" w:rsidP="006655C4">
      <w:pPr>
        <w:pStyle w:val="Textoindependiente"/>
        <w:numPr>
          <w:ilvl w:val="0"/>
          <w:numId w:val="31"/>
        </w:numPr>
        <w:tabs>
          <w:tab w:val="clear" w:pos="720"/>
        </w:tabs>
        <w:ind w:left="567" w:hanging="283"/>
        <w:rPr>
          <w:spacing w:val="0"/>
          <w:sz w:val="18"/>
          <w:szCs w:val="18"/>
        </w:rPr>
      </w:pPr>
      <w:r w:rsidRPr="001050EA">
        <w:rPr>
          <w:spacing w:val="0"/>
          <w:sz w:val="18"/>
          <w:szCs w:val="18"/>
        </w:rPr>
        <w:t>Se calcula la sensibilidad neta de cada una de las</w:t>
      </w:r>
      <w:r w:rsidR="006735E3" w:rsidRPr="001050EA">
        <w:rPr>
          <w:spacing w:val="0"/>
          <w:sz w:val="18"/>
          <w:szCs w:val="18"/>
        </w:rPr>
        <w:t xml:space="preserve"> </w:t>
      </w:r>
      <w:r w:rsidRPr="001050EA">
        <w:rPr>
          <w:spacing w:val="0"/>
          <w:sz w:val="18"/>
          <w:szCs w:val="18"/>
        </w:rPr>
        <w:t xml:space="preserve">3 zonas definidas en la Tabla 1, como la diferencia entre la suma de las sensibilidades netas positivas y el valor absoluto de la suma de las sensibilidades netas negativas correspondientes a las bandas pertenecientes a dicha zona según lo calculado en el </w:t>
      </w:r>
      <w:r w:rsidR="00825AA3" w:rsidRPr="001050EA">
        <w:rPr>
          <w:spacing w:val="0"/>
          <w:sz w:val="18"/>
          <w:szCs w:val="18"/>
        </w:rPr>
        <w:t xml:space="preserve">romano iii </w:t>
      </w:r>
      <w:r w:rsidRPr="001050EA">
        <w:rPr>
          <w:spacing w:val="0"/>
          <w:sz w:val="18"/>
          <w:szCs w:val="18"/>
        </w:rPr>
        <w:t>del presente literal.</w:t>
      </w:r>
    </w:p>
    <w:p w14:paraId="224DA895" w14:textId="77777777" w:rsidR="00914A84" w:rsidRPr="001050EA" w:rsidRDefault="00914A84" w:rsidP="006655C4">
      <w:pPr>
        <w:pStyle w:val="Textoindependiente"/>
        <w:ind w:left="567" w:hanging="283"/>
        <w:rPr>
          <w:spacing w:val="0"/>
          <w:sz w:val="18"/>
          <w:szCs w:val="18"/>
        </w:rPr>
      </w:pPr>
    </w:p>
    <w:p w14:paraId="04B27535" w14:textId="293EBB14" w:rsidR="001625E6" w:rsidRPr="001050EA" w:rsidRDefault="00246927" w:rsidP="006655C4">
      <w:pPr>
        <w:pStyle w:val="Textoindependiente"/>
        <w:numPr>
          <w:ilvl w:val="0"/>
          <w:numId w:val="31"/>
        </w:numPr>
        <w:tabs>
          <w:tab w:val="clear" w:pos="720"/>
        </w:tabs>
        <w:ind w:left="567" w:hanging="283"/>
        <w:rPr>
          <w:spacing w:val="0"/>
          <w:sz w:val="18"/>
          <w:szCs w:val="18"/>
        </w:rPr>
      </w:pPr>
      <w:r w:rsidRPr="001050EA">
        <w:rPr>
          <w:spacing w:val="0"/>
          <w:sz w:val="18"/>
          <w:szCs w:val="18"/>
        </w:rPr>
        <w:t xml:space="preserve">Si las sensibilidades netas de las zonas 1 y 2, calculadas </w:t>
      </w:r>
      <w:r w:rsidR="00A64C93" w:rsidRPr="001050EA">
        <w:rPr>
          <w:spacing w:val="0"/>
          <w:sz w:val="18"/>
          <w:szCs w:val="18"/>
        </w:rPr>
        <w:t>de acuerdo con</w:t>
      </w:r>
      <w:r w:rsidRPr="001050EA">
        <w:rPr>
          <w:spacing w:val="0"/>
          <w:sz w:val="18"/>
          <w:szCs w:val="18"/>
        </w:rPr>
        <w:t xml:space="preserve"> lo estipulado en el </w:t>
      </w:r>
      <w:r w:rsidR="00130BC8" w:rsidRPr="001050EA">
        <w:rPr>
          <w:spacing w:val="0"/>
          <w:sz w:val="18"/>
          <w:szCs w:val="18"/>
        </w:rPr>
        <w:t>romano iv anterior</w:t>
      </w:r>
      <w:r w:rsidRPr="001050EA">
        <w:rPr>
          <w:spacing w:val="0"/>
          <w:sz w:val="18"/>
          <w:szCs w:val="18"/>
        </w:rPr>
        <w:t xml:space="preserve"> tienen signos contrarios se pueden compensar.</w:t>
      </w:r>
    </w:p>
    <w:p w14:paraId="669BB871" w14:textId="77777777" w:rsidR="00914A84" w:rsidRPr="001050EA" w:rsidRDefault="00914A84" w:rsidP="006655C4">
      <w:pPr>
        <w:pStyle w:val="Textoindependiente"/>
        <w:ind w:left="567" w:hanging="283"/>
        <w:rPr>
          <w:spacing w:val="0"/>
          <w:sz w:val="18"/>
          <w:szCs w:val="18"/>
        </w:rPr>
      </w:pPr>
    </w:p>
    <w:p w14:paraId="4D471D30" w14:textId="19E9EBA1" w:rsidR="00246927" w:rsidRPr="001050EA" w:rsidRDefault="00246927" w:rsidP="006655C4">
      <w:pPr>
        <w:pStyle w:val="Textoindependiente"/>
        <w:numPr>
          <w:ilvl w:val="0"/>
          <w:numId w:val="31"/>
        </w:numPr>
        <w:tabs>
          <w:tab w:val="clear" w:pos="720"/>
        </w:tabs>
        <w:ind w:left="567" w:hanging="283"/>
        <w:rPr>
          <w:spacing w:val="0"/>
          <w:sz w:val="18"/>
          <w:szCs w:val="18"/>
        </w:rPr>
      </w:pPr>
      <w:r w:rsidRPr="001050EA">
        <w:rPr>
          <w:spacing w:val="0"/>
          <w:sz w:val="18"/>
          <w:szCs w:val="18"/>
        </w:rPr>
        <w:t>Si las sensibilidades netas de las zonas 1 y 2 son del mismo signo, y la sensibilidad neta de la zona 3 es de signo contrario, las sensibilidades netas de las zonas 2 y 3 se pueden compensar</w:t>
      </w:r>
      <w:r w:rsidR="000C3F60" w:rsidRPr="001050EA">
        <w:rPr>
          <w:spacing w:val="0"/>
          <w:sz w:val="18"/>
          <w:szCs w:val="18"/>
        </w:rPr>
        <w:t>.</w:t>
      </w:r>
    </w:p>
    <w:p w14:paraId="3C379759" w14:textId="77777777" w:rsidR="00246927" w:rsidRPr="001050EA" w:rsidRDefault="00246927" w:rsidP="00830C68">
      <w:pPr>
        <w:pStyle w:val="Normal9pt"/>
        <w:numPr>
          <w:ilvl w:val="0"/>
          <w:numId w:val="0"/>
        </w:numPr>
      </w:pPr>
    </w:p>
    <w:p w14:paraId="3BB6142A" w14:textId="377549D8" w:rsidR="00246927" w:rsidRPr="001050EA" w:rsidRDefault="00246927" w:rsidP="00CB2B82">
      <w:pPr>
        <w:pStyle w:val="Normal9pt"/>
        <w:numPr>
          <w:ilvl w:val="0"/>
          <w:numId w:val="13"/>
        </w:numPr>
        <w:ind w:left="284" w:hanging="284"/>
      </w:pPr>
      <w:r w:rsidRPr="001050EA">
        <w:t>Ajustes entre bandas y zonas</w:t>
      </w:r>
      <w:r w:rsidR="00E6285D" w:rsidRPr="001050EA">
        <w:t>.</w:t>
      </w:r>
    </w:p>
    <w:p w14:paraId="53305923" w14:textId="77777777" w:rsidR="00246927" w:rsidRPr="001050EA" w:rsidRDefault="00246927" w:rsidP="00830C68">
      <w:pPr>
        <w:pStyle w:val="Normal9pt"/>
        <w:numPr>
          <w:ilvl w:val="0"/>
          <w:numId w:val="0"/>
        </w:numPr>
      </w:pPr>
    </w:p>
    <w:p w14:paraId="00D8714E" w14:textId="77777777" w:rsidR="00246927" w:rsidRPr="001050EA" w:rsidRDefault="00246927" w:rsidP="007F053E">
      <w:pPr>
        <w:pStyle w:val="Normal9pt"/>
        <w:numPr>
          <w:ilvl w:val="0"/>
          <w:numId w:val="0"/>
        </w:numPr>
        <w:ind w:left="284"/>
      </w:pPr>
      <w:r w:rsidRPr="001050EA">
        <w:t>Dado que las posiciones al interior de cada banda, entre bandas y entre zonas no son homogéneas, se debe realizar el siguiente ajuste de las sensibilidades calculadas en el literal anterior, con base en los parámetros establecidos en la Tabla 1.</w:t>
      </w:r>
    </w:p>
    <w:p w14:paraId="0A7F6BCC" w14:textId="77777777" w:rsidR="00246927" w:rsidRPr="001050EA" w:rsidRDefault="00246927" w:rsidP="00830C68">
      <w:pPr>
        <w:pStyle w:val="Normal9pt"/>
        <w:numPr>
          <w:ilvl w:val="0"/>
          <w:numId w:val="0"/>
        </w:numPr>
      </w:pPr>
    </w:p>
    <w:p w14:paraId="555715E6" w14:textId="77777777" w:rsidR="001625E6" w:rsidRPr="001050EA" w:rsidRDefault="00246927" w:rsidP="00B9277E">
      <w:pPr>
        <w:pStyle w:val="Textoindependiente"/>
        <w:numPr>
          <w:ilvl w:val="0"/>
          <w:numId w:val="32"/>
        </w:numPr>
        <w:tabs>
          <w:tab w:val="clear" w:pos="720"/>
        </w:tabs>
        <w:ind w:left="567" w:hanging="283"/>
        <w:rPr>
          <w:spacing w:val="0"/>
          <w:sz w:val="18"/>
          <w:szCs w:val="18"/>
        </w:rPr>
      </w:pPr>
      <w:r w:rsidRPr="001050EA">
        <w:rPr>
          <w:spacing w:val="0"/>
          <w:sz w:val="18"/>
          <w:szCs w:val="18"/>
        </w:rPr>
        <w:t>El monto compensado al interior de cada banda (equivalente a la menor entre la suma de las sensibilidades de las posiciones largas y la suma de las sensibilidades de las posiciones cortas) es multiplicado por el factor de ajuste vertical indicado en la tabla 1 (β), para obtener el cargo por ajuste de sensibilidades al interior de una banda.</w:t>
      </w:r>
    </w:p>
    <w:p w14:paraId="08F00504" w14:textId="77777777" w:rsidR="001625E6" w:rsidRPr="001050EA" w:rsidRDefault="001625E6" w:rsidP="00B9277E">
      <w:pPr>
        <w:pStyle w:val="Textoindependiente"/>
        <w:ind w:left="567" w:hanging="283"/>
        <w:rPr>
          <w:spacing w:val="0"/>
          <w:sz w:val="18"/>
          <w:szCs w:val="18"/>
        </w:rPr>
      </w:pPr>
    </w:p>
    <w:p w14:paraId="5DE1C911" w14:textId="0DA0DE12" w:rsidR="001625E6" w:rsidRPr="001050EA" w:rsidRDefault="007957FA" w:rsidP="00B9277E">
      <w:pPr>
        <w:pStyle w:val="Textoindependiente"/>
        <w:numPr>
          <w:ilvl w:val="0"/>
          <w:numId w:val="32"/>
        </w:numPr>
        <w:tabs>
          <w:tab w:val="clear" w:pos="720"/>
        </w:tabs>
        <w:ind w:left="567" w:hanging="283"/>
        <w:rPr>
          <w:spacing w:val="0"/>
          <w:sz w:val="18"/>
          <w:szCs w:val="18"/>
        </w:rPr>
      </w:pPr>
      <w:r w:rsidRPr="001050EA">
        <w:rPr>
          <w:spacing w:val="0"/>
          <w:sz w:val="18"/>
          <w:szCs w:val="18"/>
        </w:rPr>
        <w:t xml:space="preserve">El monto compensado entre bandas de la misma zona es multiplicado por el factor de ajuste horizontal correspondiente a cada zona </w:t>
      </w:r>
      <w:r w:rsidR="00A64C93" w:rsidRPr="001050EA">
        <w:rPr>
          <w:spacing w:val="0"/>
          <w:sz w:val="18"/>
          <w:szCs w:val="18"/>
        </w:rPr>
        <w:t>(λ</w:t>
      </w:r>
      <w:r w:rsidRPr="001050EA">
        <w:rPr>
          <w:spacing w:val="0"/>
          <w:sz w:val="18"/>
          <w:szCs w:val="18"/>
        </w:rPr>
        <w:t>1, λ2 y λ3), para obtener el cargo por ajuste de sensibilidades al interior de una zona.</w:t>
      </w:r>
    </w:p>
    <w:p w14:paraId="6F740AE3" w14:textId="77777777" w:rsidR="00914A84" w:rsidRPr="001050EA" w:rsidRDefault="00914A84" w:rsidP="00B9277E">
      <w:pPr>
        <w:pStyle w:val="Textoindependiente"/>
        <w:ind w:left="567" w:hanging="283"/>
        <w:rPr>
          <w:spacing w:val="0"/>
          <w:sz w:val="18"/>
          <w:szCs w:val="18"/>
        </w:rPr>
      </w:pPr>
    </w:p>
    <w:p w14:paraId="1B5D9D1F" w14:textId="55BFCD01" w:rsidR="001625E6" w:rsidRPr="001050EA" w:rsidRDefault="007957FA" w:rsidP="00B9277E">
      <w:pPr>
        <w:pStyle w:val="Textoindependiente"/>
        <w:numPr>
          <w:ilvl w:val="0"/>
          <w:numId w:val="32"/>
        </w:numPr>
        <w:tabs>
          <w:tab w:val="clear" w:pos="720"/>
        </w:tabs>
        <w:ind w:left="567" w:hanging="283"/>
        <w:rPr>
          <w:spacing w:val="0"/>
          <w:sz w:val="18"/>
          <w:szCs w:val="18"/>
        </w:rPr>
      </w:pPr>
      <w:r w:rsidRPr="001050EA">
        <w:rPr>
          <w:spacing w:val="0"/>
          <w:sz w:val="18"/>
          <w:szCs w:val="18"/>
        </w:rPr>
        <w:t>El cargo por ajuste de sensibilidades entre las zonas 1 y 2 se calcula como el producto entre el monto compensado (equivalente al menor valor absoluto de las sensibilidades netas) y el factor de ajuste horizontal λ12.</w:t>
      </w:r>
    </w:p>
    <w:p w14:paraId="3A288843" w14:textId="77777777" w:rsidR="00914A84" w:rsidRPr="001050EA" w:rsidRDefault="00914A84" w:rsidP="00B9277E">
      <w:pPr>
        <w:pStyle w:val="Textoindependiente"/>
        <w:ind w:left="567" w:hanging="283"/>
        <w:rPr>
          <w:spacing w:val="0"/>
          <w:sz w:val="18"/>
          <w:szCs w:val="18"/>
        </w:rPr>
      </w:pPr>
    </w:p>
    <w:p w14:paraId="436A793E" w14:textId="2B1048DC" w:rsidR="001625E6" w:rsidRPr="001050EA" w:rsidRDefault="007957FA" w:rsidP="00B9277E">
      <w:pPr>
        <w:pStyle w:val="Textoindependiente"/>
        <w:numPr>
          <w:ilvl w:val="0"/>
          <w:numId w:val="32"/>
        </w:numPr>
        <w:tabs>
          <w:tab w:val="clear" w:pos="720"/>
        </w:tabs>
        <w:ind w:left="567" w:hanging="283"/>
        <w:rPr>
          <w:spacing w:val="0"/>
          <w:sz w:val="18"/>
          <w:szCs w:val="18"/>
        </w:rPr>
      </w:pPr>
      <w:r w:rsidRPr="001050EA">
        <w:rPr>
          <w:spacing w:val="0"/>
          <w:sz w:val="18"/>
          <w:szCs w:val="18"/>
        </w:rPr>
        <w:t>El cargo por ajuste de sensibilidades entre las zonas 2 y 3 se calcula como el producto entre el monto compensado y el factor de ajuste horizontal λ23.</w:t>
      </w:r>
    </w:p>
    <w:p w14:paraId="2AC7ED06" w14:textId="77777777" w:rsidR="00914A84" w:rsidRPr="001050EA" w:rsidRDefault="00914A84" w:rsidP="00B9277E">
      <w:pPr>
        <w:pStyle w:val="Textoindependiente"/>
        <w:ind w:left="567" w:hanging="283"/>
        <w:rPr>
          <w:spacing w:val="0"/>
          <w:sz w:val="18"/>
          <w:szCs w:val="18"/>
        </w:rPr>
      </w:pPr>
    </w:p>
    <w:p w14:paraId="0A9FEB27" w14:textId="15F21BC6" w:rsidR="001625E6" w:rsidRPr="001050EA" w:rsidRDefault="007957FA" w:rsidP="00B9277E">
      <w:pPr>
        <w:pStyle w:val="Textoindependiente"/>
        <w:numPr>
          <w:ilvl w:val="0"/>
          <w:numId w:val="32"/>
        </w:numPr>
        <w:tabs>
          <w:tab w:val="clear" w:pos="720"/>
        </w:tabs>
        <w:ind w:left="567" w:hanging="283"/>
        <w:rPr>
          <w:spacing w:val="0"/>
          <w:sz w:val="18"/>
          <w:szCs w:val="18"/>
        </w:rPr>
      </w:pPr>
      <w:r w:rsidRPr="001050EA">
        <w:rPr>
          <w:spacing w:val="0"/>
          <w:sz w:val="18"/>
          <w:szCs w:val="18"/>
        </w:rPr>
        <w:t>El cargo por ajuste descrito en el numeral anterior</w:t>
      </w:r>
      <w:r w:rsidR="00766164" w:rsidRPr="001050EA">
        <w:rPr>
          <w:spacing w:val="0"/>
          <w:sz w:val="18"/>
          <w:szCs w:val="18"/>
        </w:rPr>
        <w:t xml:space="preserve"> (</w:t>
      </w:r>
      <w:proofErr w:type="spellStart"/>
      <w:r w:rsidR="00766164" w:rsidRPr="001050EA">
        <w:rPr>
          <w:spacing w:val="0"/>
          <w:sz w:val="18"/>
          <w:szCs w:val="18"/>
        </w:rPr>
        <w:t>iv</w:t>
      </w:r>
      <w:proofErr w:type="spellEnd"/>
      <w:r w:rsidR="00766164" w:rsidRPr="001050EA">
        <w:rPr>
          <w:spacing w:val="0"/>
          <w:sz w:val="18"/>
          <w:szCs w:val="18"/>
        </w:rPr>
        <w:t>)</w:t>
      </w:r>
      <w:r w:rsidRPr="001050EA">
        <w:rPr>
          <w:spacing w:val="0"/>
          <w:sz w:val="18"/>
          <w:szCs w:val="18"/>
        </w:rPr>
        <w:t xml:space="preserve"> también debe ser utilizado cuando, habiendo realizado el procedimiento descrito en el numeral </w:t>
      </w:r>
      <w:proofErr w:type="spellStart"/>
      <w:r w:rsidR="00181095" w:rsidRPr="001050EA">
        <w:rPr>
          <w:spacing w:val="0"/>
          <w:sz w:val="18"/>
          <w:szCs w:val="18"/>
        </w:rPr>
        <w:t>ii</w:t>
      </w:r>
      <w:proofErr w:type="spellEnd"/>
      <w:r w:rsidR="00181095" w:rsidRPr="001050EA">
        <w:rPr>
          <w:spacing w:val="0"/>
          <w:sz w:val="18"/>
          <w:szCs w:val="18"/>
        </w:rPr>
        <w:t>.</w:t>
      </w:r>
      <w:r w:rsidRPr="001050EA">
        <w:rPr>
          <w:spacing w:val="0"/>
          <w:sz w:val="18"/>
          <w:szCs w:val="18"/>
        </w:rPr>
        <w:t>, la sensibilidad neta no compensada corresponda a la zona 2 (esto ocurre cuando el valor absoluto de la sensibilidad neta de esta zona es superior al valor absoluto de la sensibilidad neta de la zona 1) y tenga signo contrario a la sensibilidad neta de la zona 3.</w:t>
      </w:r>
    </w:p>
    <w:p w14:paraId="402F791E" w14:textId="77777777" w:rsidR="00914A84" w:rsidRPr="001050EA" w:rsidRDefault="00914A84" w:rsidP="00B9277E">
      <w:pPr>
        <w:pStyle w:val="Textoindependiente"/>
        <w:ind w:left="567" w:hanging="283"/>
        <w:rPr>
          <w:spacing w:val="0"/>
          <w:sz w:val="18"/>
          <w:szCs w:val="18"/>
        </w:rPr>
      </w:pPr>
    </w:p>
    <w:p w14:paraId="6F9541F9" w14:textId="5C185733" w:rsidR="001625E6" w:rsidRPr="001050EA" w:rsidRDefault="007957FA" w:rsidP="00B9277E">
      <w:pPr>
        <w:pStyle w:val="Textoindependiente"/>
        <w:numPr>
          <w:ilvl w:val="0"/>
          <w:numId w:val="32"/>
        </w:numPr>
        <w:tabs>
          <w:tab w:val="clear" w:pos="720"/>
        </w:tabs>
        <w:ind w:left="567" w:hanging="283"/>
        <w:rPr>
          <w:spacing w:val="0"/>
          <w:sz w:val="18"/>
          <w:szCs w:val="18"/>
        </w:rPr>
      </w:pPr>
      <w:r w:rsidRPr="001050EA">
        <w:rPr>
          <w:spacing w:val="0"/>
          <w:sz w:val="18"/>
          <w:szCs w:val="18"/>
        </w:rPr>
        <w:lastRenderedPageBreak/>
        <w:t xml:space="preserve">En los casos en que habiendo realizado el ajuste descrito en el </w:t>
      </w:r>
      <w:r w:rsidR="00EF1A54" w:rsidRPr="001050EA">
        <w:rPr>
          <w:spacing w:val="0"/>
          <w:sz w:val="18"/>
          <w:szCs w:val="18"/>
        </w:rPr>
        <w:t>romano iii anterior</w:t>
      </w:r>
      <w:r w:rsidRPr="001050EA">
        <w:rPr>
          <w:spacing w:val="0"/>
          <w:sz w:val="18"/>
          <w:szCs w:val="18"/>
        </w:rPr>
        <w:t>, la sensibilidad neta no compensada corresponda a la zona 1 (esto ocurre cuando el valor absoluto de la sensibilidad neta de esta zona es superior al valor absoluto de la sensibilidad neta de la zona 2) y tenga signo contrario a la sensibilidad neta de la zona 3, estas se podrán compensar. El cargo por el ajuste de dichas sensibilidades se calcula como el producto entre el monto compensado y el factor de ajuste horizontal λ13.</w:t>
      </w:r>
    </w:p>
    <w:p w14:paraId="2CD634F1" w14:textId="77777777" w:rsidR="00914A84" w:rsidRPr="001050EA" w:rsidRDefault="00914A84" w:rsidP="00B9277E">
      <w:pPr>
        <w:pStyle w:val="Textoindependiente"/>
        <w:ind w:left="567" w:hanging="283"/>
        <w:rPr>
          <w:spacing w:val="0"/>
          <w:sz w:val="18"/>
          <w:szCs w:val="18"/>
        </w:rPr>
      </w:pPr>
    </w:p>
    <w:p w14:paraId="3C91EB26" w14:textId="01F7E816" w:rsidR="001625E6" w:rsidRPr="001050EA" w:rsidRDefault="007957FA" w:rsidP="00B9277E">
      <w:pPr>
        <w:pStyle w:val="Textoindependiente"/>
        <w:numPr>
          <w:ilvl w:val="0"/>
          <w:numId w:val="32"/>
        </w:numPr>
        <w:tabs>
          <w:tab w:val="clear" w:pos="720"/>
        </w:tabs>
        <w:ind w:left="567" w:hanging="283"/>
        <w:rPr>
          <w:spacing w:val="0"/>
          <w:sz w:val="18"/>
          <w:szCs w:val="18"/>
        </w:rPr>
      </w:pPr>
      <w:r w:rsidRPr="001050EA">
        <w:rPr>
          <w:spacing w:val="0"/>
          <w:sz w:val="18"/>
          <w:szCs w:val="18"/>
        </w:rPr>
        <w:t>El cargo por ajuste descrito en el numeral anterior</w:t>
      </w:r>
      <w:r w:rsidR="0021001E" w:rsidRPr="001050EA">
        <w:rPr>
          <w:spacing w:val="0"/>
          <w:sz w:val="18"/>
          <w:szCs w:val="18"/>
        </w:rPr>
        <w:t xml:space="preserve"> (vi)</w:t>
      </w:r>
      <w:r w:rsidRPr="001050EA">
        <w:rPr>
          <w:spacing w:val="0"/>
          <w:sz w:val="18"/>
          <w:szCs w:val="18"/>
        </w:rPr>
        <w:t xml:space="preserve"> también debe aplicarse en los casos en que, habiendo realizado el procedimiento descrito en el </w:t>
      </w:r>
      <w:r w:rsidR="00997AFA" w:rsidRPr="001050EA">
        <w:rPr>
          <w:spacing w:val="0"/>
          <w:sz w:val="18"/>
          <w:szCs w:val="18"/>
        </w:rPr>
        <w:t>romano iv anterior</w:t>
      </w:r>
      <w:r w:rsidRPr="001050EA">
        <w:rPr>
          <w:spacing w:val="0"/>
          <w:sz w:val="18"/>
          <w:szCs w:val="18"/>
        </w:rPr>
        <w:t>, la sensibilidad neta no compensada corresponda a la zona 3 (esto ocurre cuando el valor absoluto de la sensibilidad neta de esta zona es superior al valor absoluto de la sensibilidad neta de la zona 2) y tenga signo contrario a la sensibilidad neta de la zona 1.</w:t>
      </w:r>
    </w:p>
    <w:p w14:paraId="5F6AA2BD" w14:textId="77777777" w:rsidR="00914A84" w:rsidRPr="001050EA" w:rsidRDefault="00914A84" w:rsidP="00B9277E">
      <w:pPr>
        <w:pStyle w:val="Textoindependiente"/>
        <w:ind w:left="567" w:hanging="283"/>
        <w:rPr>
          <w:spacing w:val="0"/>
          <w:sz w:val="18"/>
          <w:szCs w:val="18"/>
        </w:rPr>
      </w:pPr>
    </w:p>
    <w:p w14:paraId="44F6D97C" w14:textId="77777777" w:rsidR="007957FA" w:rsidRPr="001050EA" w:rsidRDefault="007957FA" w:rsidP="00B9277E">
      <w:pPr>
        <w:pStyle w:val="Textoindependiente"/>
        <w:numPr>
          <w:ilvl w:val="0"/>
          <w:numId w:val="32"/>
        </w:numPr>
        <w:tabs>
          <w:tab w:val="clear" w:pos="720"/>
        </w:tabs>
        <w:ind w:left="567" w:hanging="283"/>
        <w:rPr>
          <w:spacing w:val="0"/>
          <w:sz w:val="18"/>
          <w:szCs w:val="18"/>
        </w:rPr>
      </w:pPr>
      <w:r w:rsidRPr="001050EA">
        <w:rPr>
          <w:spacing w:val="0"/>
          <w:sz w:val="18"/>
          <w:szCs w:val="18"/>
        </w:rPr>
        <w:t>Luego de realizar, según corresponda, los ajustes descritos en los literales anteriores se obtiene la sensibilidad neta del portafolio que agrupa las sensibilidades que no se pudieron compensar.</w:t>
      </w:r>
    </w:p>
    <w:p w14:paraId="4D024B3A" w14:textId="77777777" w:rsidR="00922FD1" w:rsidRPr="001050EA" w:rsidRDefault="00922FD1" w:rsidP="00830C68">
      <w:pPr>
        <w:pStyle w:val="Textoindependiente"/>
        <w:rPr>
          <w:spacing w:val="0"/>
          <w:sz w:val="18"/>
          <w:szCs w:val="18"/>
        </w:rPr>
      </w:pPr>
    </w:p>
    <w:p w14:paraId="6C0CE076" w14:textId="2ACC90C1" w:rsidR="00922FD1" w:rsidRPr="001050EA" w:rsidRDefault="00922FD1" w:rsidP="00CB2B82">
      <w:pPr>
        <w:pStyle w:val="Normal9pt"/>
        <w:numPr>
          <w:ilvl w:val="0"/>
          <w:numId w:val="13"/>
        </w:numPr>
        <w:ind w:left="284" w:hanging="284"/>
      </w:pPr>
      <w:r w:rsidRPr="001050EA">
        <w:t>Cálculo del riesgo de tasa de interés para cada escalera de bandas</w:t>
      </w:r>
    </w:p>
    <w:p w14:paraId="450BFA64" w14:textId="77777777" w:rsidR="00922FD1" w:rsidRPr="001050EA" w:rsidRDefault="00922FD1" w:rsidP="00830C68">
      <w:pPr>
        <w:pStyle w:val="Textoindependiente"/>
        <w:rPr>
          <w:spacing w:val="0"/>
          <w:sz w:val="18"/>
          <w:szCs w:val="18"/>
        </w:rPr>
      </w:pPr>
    </w:p>
    <w:p w14:paraId="77919AFA" w14:textId="77777777" w:rsidR="00922FD1" w:rsidRPr="001050EA" w:rsidRDefault="00922FD1" w:rsidP="007F053E">
      <w:pPr>
        <w:pStyle w:val="Textoindependiente"/>
        <w:ind w:left="284"/>
        <w:rPr>
          <w:spacing w:val="0"/>
          <w:sz w:val="18"/>
          <w:szCs w:val="18"/>
        </w:rPr>
      </w:pPr>
      <w:r w:rsidRPr="001050EA">
        <w:rPr>
          <w:spacing w:val="0"/>
          <w:sz w:val="18"/>
          <w:szCs w:val="18"/>
        </w:rPr>
        <w:t>Teniendo en cuenta los procedimientos descritos, el riesgo de tasa de interés para cada una de las escaleras de bandas corresponde a la sumatoria de:</w:t>
      </w:r>
    </w:p>
    <w:p w14:paraId="27F3620E" w14:textId="77777777" w:rsidR="006735E3" w:rsidRPr="001050EA" w:rsidRDefault="006735E3" w:rsidP="00830C68">
      <w:pPr>
        <w:pStyle w:val="Normal9pt"/>
        <w:numPr>
          <w:ilvl w:val="0"/>
          <w:numId w:val="0"/>
        </w:numPr>
      </w:pPr>
    </w:p>
    <w:p w14:paraId="3F058907" w14:textId="36C120B4" w:rsidR="006735E3" w:rsidRPr="001050EA" w:rsidRDefault="00922FD1" w:rsidP="00B15CDA">
      <w:pPr>
        <w:pStyle w:val="Textoindependiente"/>
        <w:numPr>
          <w:ilvl w:val="0"/>
          <w:numId w:val="33"/>
        </w:numPr>
        <w:tabs>
          <w:tab w:val="clear" w:pos="720"/>
        </w:tabs>
        <w:ind w:left="567" w:hanging="283"/>
        <w:rPr>
          <w:spacing w:val="0"/>
          <w:sz w:val="18"/>
          <w:szCs w:val="18"/>
        </w:rPr>
      </w:pPr>
      <w:r w:rsidRPr="001050EA">
        <w:rPr>
          <w:spacing w:val="0"/>
          <w:sz w:val="18"/>
          <w:szCs w:val="18"/>
        </w:rPr>
        <w:t xml:space="preserve">El cargo por ajuste vertical de cada una de las bandas descrito en el literal </w:t>
      </w:r>
      <w:proofErr w:type="spellStart"/>
      <w:r w:rsidRPr="001050EA">
        <w:rPr>
          <w:spacing w:val="0"/>
          <w:sz w:val="18"/>
          <w:szCs w:val="18"/>
        </w:rPr>
        <w:t>b.</w:t>
      </w:r>
      <w:r w:rsidR="00454983" w:rsidRPr="001050EA">
        <w:rPr>
          <w:spacing w:val="0"/>
          <w:sz w:val="18"/>
          <w:szCs w:val="18"/>
        </w:rPr>
        <w:t>i</w:t>
      </w:r>
      <w:proofErr w:type="spellEnd"/>
      <w:r w:rsidRPr="001050EA">
        <w:rPr>
          <w:spacing w:val="0"/>
          <w:sz w:val="18"/>
          <w:szCs w:val="18"/>
        </w:rPr>
        <w:t>.</w:t>
      </w:r>
    </w:p>
    <w:p w14:paraId="5266B87E" w14:textId="2A105B8E" w:rsidR="006735E3" w:rsidRPr="001050EA" w:rsidRDefault="00922FD1" w:rsidP="00B15CDA">
      <w:pPr>
        <w:pStyle w:val="Textoindependiente"/>
        <w:numPr>
          <w:ilvl w:val="0"/>
          <w:numId w:val="33"/>
        </w:numPr>
        <w:tabs>
          <w:tab w:val="clear" w:pos="720"/>
        </w:tabs>
        <w:ind w:left="567" w:hanging="283"/>
        <w:rPr>
          <w:spacing w:val="0"/>
          <w:sz w:val="18"/>
          <w:szCs w:val="18"/>
        </w:rPr>
      </w:pPr>
      <w:r w:rsidRPr="001050EA">
        <w:rPr>
          <w:spacing w:val="0"/>
          <w:sz w:val="18"/>
          <w:szCs w:val="18"/>
        </w:rPr>
        <w:t>El cargo por ajuste al interior de las zonas descrito en el literal b.</w:t>
      </w:r>
      <w:r w:rsidR="00454983" w:rsidRPr="001050EA">
        <w:rPr>
          <w:spacing w:val="0"/>
          <w:sz w:val="18"/>
          <w:szCs w:val="18"/>
        </w:rPr>
        <w:t>ii</w:t>
      </w:r>
      <w:r w:rsidRPr="001050EA">
        <w:rPr>
          <w:spacing w:val="0"/>
          <w:sz w:val="18"/>
          <w:szCs w:val="18"/>
        </w:rPr>
        <w:t>.</w:t>
      </w:r>
    </w:p>
    <w:p w14:paraId="49C0A9A4" w14:textId="509518F9" w:rsidR="006735E3" w:rsidRPr="001050EA" w:rsidRDefault="00922FD1" w:rsidP="00B15CDA">
      <w:pPr>
        <w:pStyle w:val="Textoindependiente"/>
        <w:numPr>
          <w:ilvl w:val="0"/>
          <w:numId w:val="33"/>
        </w:numPr>
        <w:tabs>
          <w:tab w:val="clear" w:pos="720"/>
        </w:tabs>
        <w:ind w:left="567" w:hanging="283"/>
        <w:rPr>
          <w:spacing w:val="0"/>
          <w:sz w:val="18"/>
          <w:szCs w:val="18"/>
        </w:rPr>
      </w:pPr>
      <w:r w:rsidRPr="001050EA">
        <w:rPr>
          <w:spacing w:val="0"/>
          <w:sz w:val="18"/>
          <w:szCs w:val="18"/>
        </w:rPr>
        <w:t>El cargo por ajuste entre las zonas 1 y 2 descrito en el literal b.</w:t>
      </w:r>
      <w:r w:rsidR="00B97B14" w:rsidRPr="001050EA">
        <w:rPr>
          <w:spacing w:val="0"/>
          <w:sz w:val="18"/>
          <w:szCs w:val="18"/>
        </w:rPr>
        <w:t>iii</w:t>
      </w:r>
      <w:r w:rsidRPr="001050EA">
        <w:rPr>
          <w:spacing w:val="0"/>
          <w:sz w:val="18"/>
          <w:szCs w:val="18"/>
        </w:rPr>
        <w:t>.</w:t>
      </w:r>
    </w:p>
    <w:p w14:paraId="7F38D9AF" w14:textId="2DF393AE" w:rsidR="006735E3" w:rsidRPr="001050EA" w:rsidRDefault="00922FD1" w:rsidP="00B15CDA">
      <w:pPr>
        <w:pStyle w:val="Textoindependiente"/>
        <w:numPr>
          <w:ilvl w:val="0"/>
          <w:numId w:val="33"/>
        </w:numPr>
        <w:tabs>
          <w:tab w:val="clear" w:pos="720"/>
        </w:tabs>
        <w:ind w:left="567" w:hanging="283"/>
        <w:rPr>
          <w:spacing w:val="0"/>
          <w:sz w:val="18"/>
          <w:szCs w:val="18"/>
        </w:rPr>
      </w:pPr>
      <w:r w:rsidRPr="001050EA">
        <w:rPr>
          <w:spacing w:val="0"/>
          <w:sz w:val="18"/>
          <w:szCs w:val="18"/>
        </w:rPr>
        <w:t>El cargo por ajuste entre las zonas 2 y 3 descrito en los literales b.</w:t>
      </w:r>
      <w:r w:rsidR="00B97B14" w:rsidRPr="001050EA">
        <w:rPr>
          <w:spacing w:val="0"/>
          <w:sz w:val="18"/>
          <w:szCs w:val="18"/>
        </w:rPr>
        <w:t>iv</w:t>
      </w:r>
      <w:r w:rsidRPr="001050EA">
        <w:rPr>
          <w:spacing w:val="0"/>
          <w:sz w:val="18"/>
          <w:szCs w:val="18"/>
        </w:rPr>
        <w:t xml:space="preserve"> y b.</w:t>
      </w:r>
      <w:r w:rsidR="00B97B14" w:rsidRPr="001050EA">
        <w:rPr>
          <w:spacing w:val="0"/>
          <w:sz w:val="18"/>
          <w:szCs w:val="18"/>
        </w:rPr>
        <w:t>v</w:t>
      </w:r>
      <w:r w:rsidRPr="001050EA">
        <w:rPr>
          <w:spacing w:val="0"/>
          <w:sz w:val="18"/>
          <w:szCs w:val="18"/>
        </w:rPr>
        <w:t>.</w:t>
      </w:r>
    </w:p>
    <w:p w14:paraId="4303F800" w14:textId="52157731" w:rsidR="006735E3" w:rsidRPr="001050EA" w:rsidRDefault="00922FD1" w:rsidP="00B15CDA">
      <w:pPr>
        <w:pStyle w:val="Textoindependiente"/>
        <w:numPr>
          <w:ilvl w:val="0"/>
          <w:numId w:val="33"/>
        </w:numPr>
        <w:tabs>
          <w:tab w:val="clear" w:pos="720"/>
        </w:tabs>
        <w:ind w:left="567" w:hanging="283"/>
        <w:rPr>
          <w:spacing w:val="0"/>
          <w:sz w:val="18"/>
          <w:szCs w:val="18"/>
        </w:rPr>
      </w:pPr>
      <w:r w:rsidRPr="001050EA">
        <w:rPr>
          <w:spacing w:val="0"/>
          <w:sz w:val="18"/>
          <w:szCs w:val="18"/>
        </w:rPr>
        <w:t>El cargo por ajuste entre las zonas 1 y 3 descrito en los literales b.</w:t>
      </w:r>
      <w:r w:rsidR="00B97B14" w:rsidRPr="001050EA">
        <w:rPr>
          <w:spacing w:val="0"/>
          <w:sz w:val="18"/>
          <w:szCs w:val="18"/>
        </w:rPr>
        <w:t>vi</w:t>
      </w:r>
      <w:r w:rsidRPr="001050EA">
        <w:rPr>
          <w:spacing w:val="0"/>
          <w:sz w:val="18"/>
          <w:szCs w:val="18"/>
        </w:rPr>
        <w:t xml:space="preserve"> y b.</w:t>
      </w:r>
      <w:r w:rsidR="00B97B14" w:rsidRPr="001050EA">
        <w:rPr>
          <w:spacing w:val="0"/>
          <w:sz w:val="18"/>
          <w:szCs w:val="18"/>
        </w:rPr>
        <w:t>vii</w:t>
      </w:r>
      <w:r w:rsidRPr="001050EA">
        <w:rPr>
          <w:spacing w:val="0"/>
          <w:sz w:val="18"/>
          <w:szCs w:val="18"/>
        </w:rPr>
        <w:t>.</w:t>
      </w:r>
    </w:p>
    <w:p w14:paraId="0A4DE15C" w14:textId="1C8A8093" w:rsidR="00922FD1" w:rsidRPr="001050EA" w:rsidRDefault="00922FD1" w:rsidP="00B15CDA">
      <w:pPr>
        <w:pStyle w:val="Textoindependiente"/>
        <w:numPr>
          <w:ilvl w:val="0"/>
          <w:numId w:val="33"/>
        </w:numPr>
        <w:tabs>
          <w:tab w:val="clear" w:pos="720"/>
        </w:tabs>
        <w:ind w:left="567" w:hanging="283"/>
        <w:rPr>
          <w:spacing w:val="0"/>
          <w:sz w:val="18"/>
          <w:szCs w:val="18"/>
        </w:rPr>
      </w:pPr>
      <w:r w:rsidRPr="001050EA">
        <w:rPr>
          <w:spacing w:val="0"/>
          <w:sz w:val="18"/>
          <w:szCs w:val="18"/>
        </w:rPr>
        <w:t>La posición neta ponderada del portafolio descrita en el literal b.</w:t>
      </w:r>
      <w:r w:rsidR="00B97B14" w:rsidRPr="001050EA">
        <w:rPr>
          <w:spacing w:val="0"/>
          <w:sz w:val="18"/>
          <w:szCs w:val="18"/>
        </w:rPr>
        <w:t>viii</w:t>
      </w:r>
      <w:r w:rsidRPr="001050EA">
        <w:rPr>
          <w:spacing w:val="0"/>
          <w:sz w:val="18"/>
          <w:szCs w:val="18"/>
        </w:rPr>
        <w:t>.</w:t>
      </w:r>
    </w:p>
    <w:p w14:paraId="68CB333A" w14:textId="77777777" w:rsidR="007957FA" w:rsidRPr="001050EA" w:rsidRDefault="007957FA" w:rsidP="00830C68">
      <w:pPr>
        <w:pStyle w:val="Textoindependiente"/>
        <w:ind w:firstLine="360"/>
        <w:jc w:val="center"/>
        <w:rPr>
          <w:b/>
          <w:bCs/>
          <w:spacing w:val="0"/>
          <w:sz w:val="18"/>
          <w:szCs w:val="18"/>
        </w:rPr>
      </w:pPr>
    </w:p>
    <w:p w14:paraId="567929BC" w14:textId="77777777" w:rsidR="0056702D" w:rsidRPr="001050EA" w:rsidRDefault="0056702D" w:rsidP="00830C68">
      <w:pPr>
        <w:pStyle w:val="Textoindependiente"/>
        <w:ind w:firstLine="360"/>
        <w:jc w:val="center"/>
        <w:rPr>
          <w:b/>
          <w:bCs/>
          <w:spacing w:val="0"/>
          <w:sz w:val="18"/>
          <w:szCs w:val="18"/>
        </w:rPr>
      </w:pPr>
      <w:r w:rsidRPr="001050EA">
        <w:rPr>
          <w:b/>
          <w:bCs/>
          <w:spacing w:val="0"/>
          <w:sz w:val="18"/>
          <w:szCs w:val="18"/>
        </w:rPr>
        <w:t>Tabla 1</w:t>
      </w:r>
    </w:p>
    <w:p w14:paraId="01430032" w14:textId="77777777" w:rsidR="0056702D" w:rsidRPr="001050EA" w:rsidRDefault="0056702D" w:rsidP="00830C68">
      <w:pPr>
        <w:pStyle w:val="Textoindependiente"/>
        <w:ind w:firstLine="360"/>
        <w:jc w:val="center"/>
        <w:rPr>
          <w:b/>
          <w:bCs/>
          <w:spacing w:val="0"/>
          <w:sz w:val="18"/>
          <w:szCs w:val="18"/>
        </w:rPr>
      </w:pPr>
      <w:r w:rsidRPr="001050EA">
        <w:rPr>
          <w:b/>
          <w:bCs/>
          <w:spacing w:val="0"/>
          <w:sz w:val="18"/>
          <w:szCs w:val="18"/>
        </w:rPr>
        <w:t>Bandas, Choques de tasas de interés y factores de ajuste vertical y horizontal.</w:t>
      </w:r>
    </w:p>
    <w:p w14:paraId="026B2B0D" w14:textId="77777777" w:rsidR="0056702D" w:rsidRPr="001050EA" w:rsidRDefault="0056702D" w:rsidP="00830C68">
      <w:pPr>
        <w:pStyle w:val="Textoindependiente"/>
        <w:ind w:firstLine="360"/>
        <w:jc w:val="center"/>
        <w:rPr>
          <w:b/>
          <w:bCs/>
          <w:spacing w:val="0"/>
          <w:sz w:val="18"/>
          <w:szCs w:val="18"/>
        </w:rPr>
      </w:pPr>
      <w:r w:rsidRPr="001050EA">
        <w:rPr>
          <w:b/>
          <w:bCs/>
          <w:spacing w:val="0"/>
          <w:sz w:val="18"/>
          <w:szCs w:val="18"/>
        </w:rPr>
        <w:t>Riesgo general de tasa de interés</w:t>
      </w:r>
    </w:p>
    <w:p w14:paraId="645F3DA1" w14:textId="77777777" w:rsidR="0056702D" w:rsidRPr="001050EA" w:rsidRDefault="0056702D" w:rsidP="00830C68">
      <w:pPr>
        <w:pStyle w:val="Textoindependiente"/>
        <w:ind w:firstLine="360"/>
        <w:rPr>
          <w:b/>
          <w:bCs/>
          <w:spacing w:val="0"/>
          <w:sz w:val="18"/>
          <w:szCs w:val="18"/>
        </w:rPr>
      </w:pPr>
    </w:p>
    <w:p w14:paraId="34CC3FC3" w14:textId="77777777" w:rsidR="0056702D" w:rsidRPr="001050EA" w:rsidRDefault="00491E4D" w:rsidP="00830C68">
      <w:pPr>
        <w:pStyle w:val="Textoindependiente"/>
        <w:ind w:firstLine="360"/>
        <w:jc w:val="center"/>
        <w:rPr>
          <w:sz w:val="18"/>
          <w:szCs w:val="18"/>
        </w:rPr>
      </w:pPr>
      <w:r w:rsidRPr="001050EA">
        <w:rPr>
          <w:noProof/>
          <w:sz w:val="18"/>
          <w:szCs w:val="18"/>
          <w:lang w:val="es-CO" w:eastAsia="es-CO"/>
        </w:rPr>
        <w:drawing>
          <wp:inline distT="0" distB="0" distL="0" distR="0" wp14:anchorId="310AD230" wp14:editId="6623D53A">
            <wp:extent cx="5610225" cy="2400300"/>
            <wp:effectExtent l="12700" t="12700" r="15875" b="1270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0225" cy="2400300"/>
                    </a:xfrm>
                    <a:prstGeom prst="rect">
                      <a:avLst/>
                    </a:prstGeom>
                    <a:noFill/>
                    <a:ln>
                      <a:solidFill>
                        <a:schemeClr val="tx1"/>
                      </a:solidFill>
                    </a:ln>
                  </pic:spPr>
                </pic:pic>
              </a:graphicData>
            </a:graphic>
          </wp:inline>
        </w:drawing>
      </w:r>
    </w:p>
    <w:p w14:paraId="1AB6E725" w14:textId="77777777" w:rsidR="0056702D" w:rsidRPr="001050EA" w:rsidRDefault="0056702D" w:rsidP="00830C68">
      <w:pPr>
        <w:pStyle w:val="Textoindependiente"/>
        <w:ind w:firstLine="360"/>
        <w:rPr>
          <w:b/>
          <w:bCs/>
          <w:spacing w:val="0"/>
          <w:sz w:val="18"/>
          <w:szCs w:val="18"/>
        </w:rPr>
      </w:pPr>
    </w:p>
    <w:p w14:paraId="75CE3EF8" w14:textId="12D1C46C" w:rsidR="0056702D" w:rsidRPr="001050EA" w:rsidRDefault="0056702D" w:rsidP="007F053E">
      <w:pPr>
        <w:pStyle w:val="Textoindependiente"/>
        <w:ind w:left="284"/>
        <w:rPr>
          <w:spacing w:val="0"/>
          <w:sz w:val="18"/>
          <w:szCs w:val="18"/>
        </w:rPr>
      </w:pPr>
      <w:r w:rsidRPr="001050EA">
        <w:rPr>
          <w:spacing w:val="0"/>
          <w:sz w:val="18"/>
          <w:szCs w:val="18"/>
        </w:rPr>
        <w:t>Los factores en la Tabla 1 serán revisados por la SFC y podrán ser modificados cuando los niveles establecidos no reflejen apropiadamente la sensibilidad de las posiciones expuestas al riesgo de tasa de interés.</w:t>
      </w:r>
    </w:p>
    <w:p w14:paraId="14691B6F" w14:textId="77777777" w:rsidR="00736637" w:rsidRPr="001050EA" w:rsidRDefault="00736637" w:rsidP="00830C68">
      <w:pPr>
        <w:pStyle w:val="Textoindependiente"/>
        <w:rPr>
          <w:spacing w:val="0"/>
          <w:sz w:val="18"/>
          <w:szCs w:val="18"/>
        </w:rPr>
      </w:pPr>
    </w:p>
    <w:p w14:paraId="636B8E09" w14:textId="77777777" w:rsidR="005541D0" w:rsidRPr="001050EA" w:rsidRDefault="005541D0" w:rsidP="00830C68">
      <w:pPr>
        <w:jc w:val="both"/>
        <w:rPr>
          <w:bCs/>
          <w:vanish/>
          <w:spacing w:val="0"/>
          <w:sz w:val="18"/>
          <w:szCs w:val="18"/>
          <w:lang w:val="es-MX"/>
        </w:rPr>
      </w:pPr>
    </w:p>
    <w:p w14:paraId="3034E548" w14:textId="5AE1F73F" w:rsidR="0056702D" w:rsidRPr="001050EA" w:rsidRDefault="0056702D" w:rsidP="00830C68">
      <w:pPr>
        <w:pStyle w:val="Textoindependiente"/>
        <w:numPr>
          <w:ilvl w:val="3"/>
          <w:numId w:val="23"/>
        </w:numPr>
        <w:rPr>
          <w:bCs/>
          <w:spacing w:val="0"/>
          <w:sz w:val="18"/>
          <w:szCs w:val="18"/>
        </w:rPr>
      </w:pPr>
      <w:r w:rsidRPr="001050EA">
        <w:rPr>
          <w:bCs/>
          <w:spacing w:val="0"/>
          <w:sz w:val="18"/>
          <w:szCs w:val="18"/>
        </w:rPr>
        <w:t>Determinación exposición total</w:t>
      </w:r>
    </w:p>
    <w:p w14:paraId="784CD837" w14:textId="77777777" w:rsidR="0056702D" w:rsidRPr="001050EA" w:rsidRDefault="0056702D" w:rsidP="00830C68">
      <w:pPr>
        <w:pStyle w:val="Textoindependiente"/>
        <w:rPr>
          <w:b/>
          <w:bCs/>
          <w:spacing w:val="0"/>
          <w:sz w:val="18"/>
          <w:szCs w:val="18"/>
        </w:rPr>
      </w:pPr>
    </w:p>
    <w:p w14:paraId="370FA6C0" w14:textId="050F2DF8" w:rsidR="0056702D" w:rsidRPr="001050EA" w:rsidRDefault="0056702D" w:rsidP="00830C68">
      <w:pPr>
        <w:pStyle w:val="Textoindependiente"/>
        <w:rPr>
          <w:spacing w:val="0"/>
          <w:sz w:val="18"/>
          <w:szCs w:val="18"/>
        </w:rPr>
      </w:pPr>
      <w:r w:rsidRPr="001050EA">
        <w:rPr>
          <w:spacing w:val="0"/>
          <w:sz w:val="18"/>
          <w:szCs w:val="18"/>
        </w:rPr>
        <w:t>Para el cálculo de la exposición al riesgo de tasa de interés deben sumarse los valores correspondientes al riesgo para cada escalera de bandas, calculados según lo descrito en el subnumeral 2.1.2.1</w:t>
      </w:r>
      <w:r w:rsidR="00720448" w:rsidRPr="001050EA">
        <w:rPr>
          <w:spacing w:val="0"/>
          <w:sz w:val="18"/>
          <w:szCs w:val="18"/>
        </w:rPr>
        <w:t>. del presente Anexo</w:t>
      </w:r>
      <w:r w:rsidRPr="001050EA">
        <w:rPr>
          <w:spacing w:val="0"/>
          <w:sz w:val="18"/>
          <w:szCs w:val="18"/>
        </w:rPr>
        <w:t>. Adicionalmente deben añadirse cuando correspondan los siguientes cargos asociados a las posiciones en opciones:</w:t>
      </w:r>
    </w:p>
    <w:p w14:paraId="6E7CD576" w14:textId="77777777" w:rsidR="0056702D" w:rsidRPr="001050EA" w:rsidRDefault="0056702D" w:rsidP="00830C68">
      <w:pPr>
        <w:pStyle w:val="Textoindependiente"/>
        <w:rPr>
          <w:spacing w:val="0"/>
          <w:sz w:val="18"/>
          <w:szCs w:val="18"/>
        </w:rPr>
      </w:pPr>
    </w:p>
    <w:p w14:paraId="4615F52C" w14:textId="753BDE48" w:rsidR="0056702D" w:rsidRPr="001050EA" w:rsidRDefault="0056702D" w:rsidP="00830C68">
      <w:pPr>
        <w:pStyle w:val="Textoindependiente"/>
        <w:numPr>
          <w:ilvl w:val="0"/>
          <w:numId w:val="6"/>
        </w:numPr>
        <w:tabs>
          <w:tab w:val="clear" w:pos="720"/>
          <w:tab w:val="num" w:pos="284"/>
        </w:tabs>
        <w:ind w:left="284" w:hanging="284"/>
        <w:rPr>
          <w:spacing w:val="0"/>
          <w:sz w:val="18"/>
          <w:szCs w:val="18"/>
        </w:rPr>
      </w:pPr>
      <w:r w:rsidRPr="001050EA">
        <w:rPr>
          <w:spacing w:val="0"/>
          <w:sz w:val="18"/>
          <w:szCs w:val="18"/>
        </w:rPr>
        <w:t>Para las entidades elegibles para el tratamiento simplificado de opciones descrito en el numeral 2.1.6.1</w:t>
      </w:r>
      <w:r w:rsidR="00702466" w:rsidRPr="001050EA">
        <w:rPr>
          <w:spacing w:val="0"/>
          <w:sz w:val="18"/>
          <w:szCs w:val="18"/>
        </w:rPr>
        <w:t xml:space="preserve"> del presente Anexo</w:t>
      </w:r>
      <w:r w:rsidRPr="001050EA">
        <w:rPr>
          <w:spacing w:val="0"/>
          <w:sz w:val="18"/>
          <w:szCs w:val="18"/>
        </w:rPr>
        <w:t>, la exposición resultante de las posiciones en opciones cuyos subyacentes sean tasas de interés o títulos de deuda, o</w:t>
      </w:r>
    </w:p>
    <w:p w14:paraId="14CB5B02" w14:textId="77777777" w:rsidR="007F053E" w:rsidRPr="001050EA" w:rsidRDefault="007F053E" w:rsidP="007F053E">
      <w:pPr>
        <w:pStyle w:val="Textoindependiente"/>
        <w:ind w:left="284"/>
        <w:rPr>
          <w:spacing w:val="0"/>
          <w:sz w:val="18"/>
          <w:szCs w:val="18"/>
        </w:rPr>
      </w:pPr>
    </w:p>
    <w:p w14:paraId="536B62A3" w14:textId="0CFE4A7E" w:rsidR="0056702D" w:rsidRPr="001050EA" w:rsidRDefault="0056702D" w:rsidP="00830C68">
      <w:pPr>
        <w:pStyle w:val="Textoindependiente"/>
        <w:numPr>
          <w:ilvl w:val="0"/>
          <w:numId w:val="6"/>
        </w:numPr>
        <w:tabs>
          <w:tab w:val="clear" w:pos="720"/>
          <w:tab w:val="num" w:pos="284"/>
        </w:tabs>
        <w:ind w:left="284" w:hanging="284"/>
        <w:rPr>
          <w:spacing w:val="0"/>
          <w:sz w:val="18"/>
          <w:szCs w:val="18"/>
        </w:rPr>
      </w:pPr>
      <w:r w:rsidRPr="001050EA">
        <w:rPr>
          <w:spacing w:val="0"/>
          <w:sz w:val="18"/>
          <w:szCs w:val="18"/>
        </w:rPr>
        <w:t>Para las entidades que deban aplicar la metodología intermedia descrita en el numeral 2.1.6.2</w:t>
      </w:r>
      <w:r w:rsidR="00346627" w:rsidRPr="001050EA">
        <w:rPr>
          <w:spacing w:val="0"/>
          <w:sz w:val="18"/>
          <w:szCs w:val="18"/>
        </w:rPr>
        <w:t>. del presente Anexo</w:t>
      </w:r>
      <w:r w:rsidRPr="001050EA">
        <w:rPr>
          <w:spacing w:val="0"/>
          <w:sz w:val="18"/>
          <w:szCs w:val="18"/>
        </w:rPr>
        <w:t xml:space="preserve">, los cargos correspondientes a los riesgos </w:t>
      </w:r>
      <w:r w:rsidRPr="001050EA">
        <w:rPr>
          <w:i/>
          <w:iCs/>
          <w:spacing w:val="0"/>
          <w:sz w:val="18"/>
          <w:szCs w:val="18"/>
        </w:rPr>
        <w:t xml:space="preserve">Gamma </w:t>
      </w:r>
      <w:r w:rsidRPr="001050EA">
        <w:rPr>
          <w:spacing w:val="0"/>
          <w:sz w:val="18"/>
          <w:szCs w:val="18"/>
        </w:rPr>
        <w:t xml:space="preserve">y </w:t>
      </w:r>
      <w:r w:rsidRPr="001050EA">
        <w:rPr>
          <w:i/>
          <w:iCs/>
          <w:spacing w:val="0"/>
          <w:sz w:val="18"/>
          <w:szCs w:val="18"/>
        </w:rPr>
        <w:t xml:space="preserve">Vega </w:t>
      </w:r>
      <w:r w:rsidRPr="001050EA">
        <w:rPr>
          <w:spacing w:val="0"/>
          <w:sz w:val="18"/>
          <w:szCs w:val="18"/>
        </w:rPr>
        <w:t>de dichas opciones.</w:t>
      </w:r>
    </w:p>
    <w:p w14:paraId="59B3F642" w14:textId="586F101A" w:rsidR="0056702D" w:rsidRPr="001050EA" w:rsidRDefault="0056702D" w:rsidP="00830C68">
      <w:pPr>
        <w:pStyle w:val="Textoindependiente"/>
        <w:rPr>
          <w:spacing w:val="0"/>
          <w:sz w:val="18"/>
          <w:szCs w:val="18"/>
        </w:rPr>
      </w:pPr>
    </w:p>
    <w:p w14:paraId="37C98E03" w14:textId="4A59D764" w:rsidR="007F053E" w:rsidRPr="001050EA" w:rsidRDefault="007F053E" w:rsidP="00830C68">
      <w:pPr>
        <w:pStyle w:val="Textoindependiente"/>
        <w:rPr>
          <w:spacing w:val="0"/>
          <w:sz w:val="18"/>
          <w:szCs w:val="18"/>
        </w:rPr>
      </w:pPr>
    </w:p>
    <w:p w14:paraId="73A8EA0C" w14:textId="3227BC94" w:rsidR="007F053E" w:rsidRPr="001050EA" w:rsidRDefault="007F053E" w:rsidP="00830C68">
      <w:pPr>
        <w:pStyle w:val="Textoindependiente"/>
        <w:rPr>
          <w:spacing w:val="0"/>
          <w:sz w:val="18"/>
          <w:szCs w:val="18"/>
        </w:rPr>
      </w:pPr>
    </w:p>
    <w:p w14:paraId="397A5B19" w14:textId="77777777" w:rsidR="007F053E" w:rsidRPr="001050EA" w:rsidRDefault="007F053E" w:rsidP="00830C68">
      <w:pPr>
        <w:pStyle w:val="Textoindependiente"/>
        <w:rPr>
          <w:spacing w:val="0"/>
          <w:sz w:val="18"/>
          <w:szCs w:val="18"/>
        </w:rPr>
      </w:pPr>
    </w:p>
    <w:p w14:paraId="67FB2328" w14:textId="77777777" w:rsidR="0056702D" w:rsidRPr="001050EA" w:rsidRDefault="0056702D" w:rsidP="00830C68">
      <w:pPr>
        <w:pStyle w:val="Textoindependiente"/>
        <w:numPr>
          <w:ilvl w:val="2"/>
          <w:numId w:val="23"/>
        </w:numPr>
        <w:rPr>
          <w:bCs/>
          <w:spacing w:val="0"/>
          <w:sz w:val="18"/>
          <w:szCs w:val="18"/>
        </w:rPr>
      </w:pPr>
      <w:r w:rsidRPr="001050EA">
        <w:rPr>
          <w:bCs/>
          <w:spacing w:val="0"/>
          <w:sz w:val="18"/>
          <w:szCs w:val="18"/>
        </w:rPr>
        <w:lastRenderedPageBreak/>
        <w:t>Riesgo de tasa de cambio</w:t>
      </w:r>
    </w:p>
    <w:p w14:paraId="2880A5ED" w14:textId="77777777" w:rsidR="0056702D" w:rsidRPr="001050EA" w:rsidRDefault="0056702D" w:rsidP="00830C68">
      <w:pPr>
        <w:pStyle w:val="Textoindependiente"/>
        <w:rPr>
          <w:b/>
          <w:bCs/>
          <w:spacing w:val="0"/>
          <w:sz w:val="18"/>
          <w:szCs w:val="18"/>
        </w:rPr>
      </w:pPr>
    </w:p>
    <w:p w14:paraId="6A6A3A41" w14:textId="77777777" w:rsidR="0056702D" w:rsidRPr="001050EA" w:rsidRDefault="0056702D" w:rsidP="00830C68">
      <w:pPr>
        <w:pStyle w:val="Textoindependiente"/>
        <w:rPr>
          <w:spacing w:val="0"/>
          <w:sz w:val="18"/>
          <w:szCs w:val="18"/>
        </w:rPr>
      </w:pPr>
      <w:r w:rsidRPr="001050EA">
        <w:rPr>
          <w:spacing w:val="0"/>
          <w:sz w:val="18"/>
          <w:szCs w:val="18"/>
        </w:rPr>
        <w:t>Esta sección muestra la metodología para calcular el requerimiento mínimo de capital necesario para cubrir los riesgos asociados a tomar o mantener posiciones denominadas en monedas extranjeras, tanto en el libro de tesorería como en el bancario.</w:t>
      </w:r>
    </w:p>
    <w:p w14:paraId="0849C28F" w14:textId="77777777" w:rsidR="0056702D" w:rsidRPr="001050EA" w:rsidRDefault="0056702D" w:rsidP="00830C68">
      <w:pPr>
        <w:pStyle w:val="Textoindependiente"/>
        <w:rPr>
          <w:spacing w:val="0"/>
          <w:sz w:val="18"/>
          <w:szCs w:val="18"/>
        </w:rPr>
      </w:pPr>
    </w:p>
    <w:p w14:paraId="10B98D7E" w14:textId="77777777" w:rsidR="0056702D" w:rsidRPr="001050EA" w:rsidRDefault="0056702D" w:rsidP="00830C68">
      <w:pPr>
        <w:pStyle w:val="Textoindependiente"/>
        <w:rPr>
          <w:spacing w:val="0"/>
          <w:sz w:val="18"/>
          <w:szCs w:val="18"/>
        </w:rPr>
      </w:pPr>
      <w:r w:rsidRPr="001050EA">
        <w:rPr>
          <w:spacing w:val="0"/>
          <w:sz w:val="18"/>
          <w:szCs w:val="18"/>
        </w:rPr>
        <w:t>Para calcular la posición neta en cada moneda deben sumarse las siguientes posiciones:</w:t>
      </w:r>
    </w:p>
    <w:p w14:paraId="3975CE53" w14:textId="77777777" w:rsidR="0056702D" w:rsidRPr="001050EA" w:rsidRDefault="0056702D" w:rsidP="00830C68">
      <w:pPr>
        <w:pStyle w:val="Textoindependiente"/>
        <w:rPr>
          <w:spacing w:val="0"/>
          <w:sz w:val="18"/>
          <w:szCs w:val="18"/>
        </w:rPr>
      </w:pPr>
    </w:p>
    <w:p w14:paraId="77791ECA" w14:textId="2605A60D" w:rsidR="0056702D" w:rsidRPr="001050EA" w:rsidRDefault="0056702D" w:rsidP="00830C68">
      <w:pPr>
        <w:pStyle w:val="Textoindependiente"/>
        <w:numPr>
          <w:ilvl w:val="0"/>
          <w:numId w:val="10"/>
        </w:numPr>
        <w:tabs>
          <w:tab w:val="clear" w:pos="720"/>
          <w:tab w:val="num" w:pos="284"/>
        </w:tabs>
        <w:ind w:left="284" w:hanging="284"/>
        <w:rPr>
          <w:spacing w:val="0"/>
          <w:sz w:val="18"/>
          <w:szCs w:val="18"/>
        </w:rPr>
      </w:pPr>
      <w:r w:rsidRPr="001050EA">
        <w:rPr>
          <w:spacing w:val="0"/>
          <w:sz w:val="18"/>
          <w:szCs w:val="18"/>
        </w:rPr>
        <w:t xml:space="preserve">La posición neta de las operaciones </w:t>
      </w:r>
      <w:r w:rsidRPr="001050EA">
        <w:rPr>
          <w:i/>
          <w:iCs/>
          <w:spacing w:val="0"/>
          <w:sz w:val="18"/>
          <w:szCs w:val="18"/>
        </w:rPr>
        <w:t>spot</w:t>
      </w:r>
      <w:r w:rsidRPr="001050EA">
        <w:rPr>
          <w:spacing w:val="0"/>
          <w:sz w:val="18"/>
          <w:szCs w:val="18"/>
        </w:rPr>
        <w:t xml:space="preserve"> de la entidad, calculada como la diferencia entre los activos y los pasivos, incluyendo en ambos casos los intereses causados, denominados en la moneda en cuestión.</w:t>
      </w:r>
    </w:p>
    <w:p w14:paraId="41BFFDA4" w14:textId="77777777" w:rsidR="007F053E" w:rsidRPr="001050EA" w:rsidRDefault="007F053E" w:rsidP="007F053E">
      <w:pPr>
        <w:pStyle w:val="Textoindependiente"/>
        <w:ind w:left="284"/>
        <w:rPr>
          <w:spacing w:val="0"/>
          <w:sz w:val="18"/>
          <w:szCs w:val="18"/>
        </w:rPr>
      </w:pPr>
    </w:p>
    <w:p w14:paraId="7C9F2703" w14:textId="7D7249E7" w:rsidR="0056702D" w:rsidRPr="001050EA" w:rsidRDefault="0056702D" w:rsidP="00830C68">
      <w:pPr>
        <w:pStyle w:val="Textoindependiente"/>
        <w:numPr>
          <w:ilvl w:val="0"/>
          <w:numId w:val="10"/>
        </w:numPr>
        <w:tabs>
          <w:tab w:val="clear" w:pos="720"/>
          <w:tab w:val="num" w:pos="284"/>
        </w:tabs>
        <w:ind w:left="284" w:hanging="284"/>
        <w:rPr>
          <w:spacing w:val="0"/>
          <w:sz w:val="18"/>
          <w:szCs w:val="18"/>
        </w:rPr>
      </w:pPr>
      <w:r w:rsidRPr="001050EA">
        <w:rPr>
          <w:spacing w:val="0"/>
          <w:sz w:val="18"/>
          <w:szCs w:val="18"/>
        </w:rPr>
        <w:t xml:space="preserve">La posición neta de las operaciones </w:t>
      </w:r>
      <w:r w:rsidRPr="001050EA">
        <w:rPr>
          <w:i/>
          <w:iCs/>
          <w:spacing w:val="0"/>
          <w:sz w:val="18"/>
          <w:szCs w:val="18"/>
        </w:rPr>
        <w:t xml:space="preserve">forward </w:t>
      </w:r>
      <w:r w:rsidRPr="001050EA">
        <w:rPr>
          <w:spacing w:val="0"/>
          <w:sz w:val="18"/>
          <w:szCs w:val="18"/>
        </w:rPr>
        <w:t>de la entidad, calculada como la diferencia entre las posiciones largas en forwards, futuros y operaciones a plazo sobre la moneda en cuestión, y las posiciones cortas en dichos instrumentos.</w:t>
      </w:r>
    </w:p>
    <w:p w14:paraId="248A0E24" w14:textId="77777777" w:rsidR="007F053E" w:rsidRPr="001050EA" w:rsidRDefault="007F053E" w:rsidP="007F053E">
      <w:pPr>
        <w:pStyle w:val="Textoindependiente"/>
        <w:rPr>
          <w:spacing w:val="0"/>
          <w:sz w:val="18"/>
          <w:szCs w:val="18"/>
        </w:rPr>
      </w:pPr>
    </w:p>
    <w:p w14:paraId="00A89335" w14:textId="421F3C78" w:rsidR="0056702D" w:rsidRPr="001050EA" w:rsidRDefault="0056702D" w:rsidP="00830C68">
      <w:pPr>
        <w:pStyle w:val="Textoindependiente"/>
        <w:numPr>
          <w:ilvl w:val="0"/>
          <w:numId w:val="10"/>
        </w:numPr>
        <w:tabs>
          <w:tab w:val="clear" w:pos="720"/>
          <w:tab w:val="num" w:pos="284"/>
        </w:tabs>
        <w:ind w:left="284" w:hanging="284"/>
        <w:rPr>
          <w:spacing w:val="0"/>
          <w:sz w:val="18"/>
          <w:szCs w:val="18"/>
        </w:rPr>
      </w:pPr>
      <w:r w:rsidRPr="001050EA">
        <w:rPr>
          <w:spacing w:val="0"/>
          <w:sz w:val="18"/>
          <w:szCs w:val="18"/>
        </w:rPr>
        <w:t xml:space="preserve">La posición neta de las operaciones en derivados de la entidad cuyo subyacente no sea una divisa pero si un título o una tasa de interés denominados en dicha moneda. Para calcular esta posición deberá computarse la diferencia entre las posiciones nocionales largas y las posiciones nocionales cortas determinadas </w:t>
      </w:r>
      <w:r w:rsidR="00A64C93" w:rsidRPr="001050EA">
        <w:rPr>
          <w:spacing w:val="0"/>
          <w:sz w:val="18"/>
          <w:szCs w:val="18"/>
        </w:rPr>
        <w:t>de acuerdo con</w:t>
      </w:r>
      <w:r w:rsidRPr="001050EA">
        <w:rPr>
          <w:spacing w:val="0"/>
          <w:sz w:val="18"/>
          <w:szCs w:val="18"/>
        </w:rPr>
        <w:t xml:space="preserve"> lo previsto en el numeral 2.1.1</w:t>
      </w:r>
      <w:r w:rsidR="000F4D30" w:rsidRPr="001050EA">
        <w:rPr>
          <w:spacing w:val="0"/>
          <w:sz w:val="18"/>
          <w:szCs w:val="18"/>
        </w:rPr>
        <w:t xml:space="preserve"> del presente Anexo</w:t>
      </w:r>
      <w:r w:rsidRPr="001050EA">
        <w:rPr>
          <w:spacing w:val="0"/>
          <w:sz w:val="18"/>
          <w:szCs w:val="18"/>
        </w:rPr>
        <w:t>.</w:t>
      </w:r>
    </w:p>
    <w:p w14:paraId="435FA854" w14:textId="77777777" w:rsidR="007F053E" w:rsidRPr="001050EA" w:rsidRDefault="007F053E" w:rsidP="007F053E">
      <w:pPr>
        <w:pStyle w:val="Textoindependiente"/>
        <w:rPr>
          <w:spacing w:val="0"/>
          <w:sz w:val="18"/>
          <w:szCs w:val="18"/>
        </w:rPr>
      </w:pPr>
    </w:p>
    <w:p w14:paraId="047EC4F0" w14:textId="77777777" w:rsidR="00A9696E" w:rsidRPr="001050EA" w:rsidRDefault="0056702D" w:rsidP="00830C68">
      <w:pPr>
        <w:pStyle w:val="Textoindependiente"/>
        <w:numPr>
          <w:ilvl w:val="0"/>
          <w:numId w:val="10"/>
        </w:numPr>
        <w:tabs>
          <w:tab w:val="clear" w:pos="720"/>
          <w:tab w:val="num" w:pos="284"/>
        </w:tabs>
        <w:ind w:left="284" w:hanging="284"/>
        <w:rPr>
          <w:spacing w:val="0"/>
          <w:sz w:val="18"/>
          <w:szCs w:val="18"/>
        </w:rPr>
      </w:pPr>
      <w:r w:rsidRPr="001050EA">
        <w:rPr>
          <w:spacing w:val="0"/>
          <w:sz w:val="18"/>
          <w:szCs w:val="18"/>
        </w:rPr>
        <w:t>Adicionalmente, cuando corresponda según lo previsto en el numeral 2.1.6</w:t>
      </w:r>
      <w:r w:rsidR="005E1338" w:rsidRPr="001050EA">
        <w:rPr>
          <w:spacing w:val="0"/>
          <w:sz w:val="18"/>
          <w:szCs w:val="18"/>
        </w:rPr>
        <w:t xml:space="preserve"> del presente Anexo</w:t>
      </w:r>
      <w:r w:rsidRPr="001050EA">
        <w:rPr>
          <w:spacing w:val="0"/>
          <w:sz w:val="18"/>
          <w:szCs w:val="18"/>
        </w:rPr>
        <w:t>, las posiciones delta ponderadas de opciones en monedas</w:t>
      </w:r>
      <w:r w:rsidR="00224CF0" w:rsidRPr="001050EA">
        <w:rPr>
          <w:spacing w:val="0"/>
          <w:sz w:val="18"/>
          <w:szCs w:val="18"/>
        </w:rPr>
        <w:t>.</w:t>
      </w:r>
    </w:p>
    <w:p w14:paraId="5439202A" w14:textId="77777777" w:rsidR="00A9696E" w:rsidRPr="001050EA" w:rsidRDefault="00A9696E" w:rsidP="00A9696E">
      <w:pPr>
        <w:pStyle w:val="Textoindependiente"/>
        <w:ind w:left="284"/>
        <w:rPr>
          <w:spacing w:val="0"/>
          <w:sz w:val="18"/>
          <w:szCs w:val="18"/>
        </w:rPr>
      </w:pPr>
    </w:p>
    <w:p w14:paraId="171C026A" w14:textId="54DD98BB" w:rsidR="00224CF0" w:rsidRPr="001050EA" w:rsidRDefault="00224CF0" w:rsidP="00A9696E">
      <w:pPr>
        <w:pStyle w:val="Textoindependiente"/>
        <w:ind w:left="284"/>
        <w:rPr>
          <w:spacing w:val="0"/>
          <w:sz w:val="18"/>
          <w:szCs w:val="18"/>
        </w:rPr>
      </w:pPr>
      <w:r w:rsidRPr="001050EA">
        <w:rPr>
          <w:spacing w:val="0"/>
          <w:sz w:val="18"/>
          <w:szCs w:val="18"/>
        </w:rPr>
        <w:t xml:space="preserve">Una vez obtenida la posición neta de cada moneda, su equivalente en moneda legal se calculará de la siguiente manera: </w:t>
      </w:r>
    </w:p>
    <w:p w14:paraId="289550BC" w14:textId="77777777" w:rsidR="00224CF0" w:rsidRPr="001050EA" w:rsidRDefault="00224CF0" w:rsidP="00830C68">
      <w:pPr>
        <w:pStyle w:val="Textoindependiente"/>
        <w:rPr>
          <w:spacing w:val="0"/>
          <w:sz w:val="18"/>
          <w:szCs w:val="18"/>
        </w:rPr>
      </w:pPr>
    </w:p>
    <w:p w14:paraId="034706EE" w14:textId="77777777" w:rsidR="00DE77A7" w:rsidRPr="001050EA" w:rsidRDefault="00224CF0" w:rsidP="00A9696E">
      <w:pPr>
        <w:pStyle w:val="Textoindependiente"/>
        <w:numPr>
          <w:ilvl w:val="0"/>
          <w:numId w:val="34"/>
        </w:numPr>
        <w:tabs>
          <w:tab w:val="clear" w:pos="720"/>
        </w:tabs>
        <w:ind w:left="567" w:hanging="284"/>
        <w:rPr>
          <w:spacing w:val="0"/>
          <w:sz w:val="18"/>
          <w:szCs w:val="18"/>
        </w:rPr>
      </w:pPr>
      <w:r w:rsidRPr="001050EA">
        <w:rPr>
          <w:spacing w:val="0"/>
          <w:sz w:val="18"/>
          <w:szCs w:val="18"/>
        </w:rPr>
        <w:t xml:space="preserve">Para determinar la exposición neta en dólares de los Estados Unidos de Norteamérica, se multiplicará la posición neta en dólares por la Tasa de Cambio Representativa del Mercado (TCRM) calculada en la fecha de la evaluación. </w:t>
      </w:r>
    </w:p>
    <w:p w14:paraId="56E188A4" w14:textId="356871A4" w:rsidR="00224CF0" w:rsidRPr="001050EA" w:rsidRDefault="00224CF0" w:rsidP="00A9696E">
      <w:pPr>
        <w:pStyle w:val="Textoindependiente"/>
        <w:numPr>
          <w:ilvl w:val="0"/>
          <w:numId w:val="34"/>
        </w:numPr>
        <w:tabs>
          <w:tab w:val="clear" w:pos="720"/>
        </w:tabs>
        <w:ind w:left="567" w:hanging="284"/>
        <w:rPr>
          <w:spacing w:val="0"/>
          <w:sz w:val="18"/>
          <w:szCs w:val="18"/>
        </w:rPr>
      </w:pPr>
      <w:r w:rsidRPr="001050EA">
        <w:rPr>
          <w:spacing w:val="0"/>
          <w:sz w:val="18"/>
          <w:szCs w:val="18"/>
        </w:rPr>
        <w:t xml:space="preserve">Para monedas distintas al dólar de los Estados Unidos de Norteamérica, se debe convertir previamente las exposiciones a dólares de los Estados Unidos de Norteamérica con base en las tasas de conversión de divisas publicadas para el día del cálculo en la página Web del Banco Central Europeo </w:t>
      </w:r>
      <w:r w:rsidR="006735E3" w:rsidRPr="001050EA">
        <w:rPr>
          <w:spacing w:val="0"/>
          <w:sz w:val="18"/>
          <w:szCs w:val="18"/>
        </w:rPr>
        <w:t xml:space="preserve">(BCE), con </w:t>
      </w:r>
      <w:r w:rsidRPr="001050EA">
        <w:rPr>
          <w:spacing w:val="0"/>
          <w:sz w:val="18"/>
          <w:szCs w:val="18"/>
        </w:rPr>
        <w:t>6 decimales aproximando el último por el sistema de redondeo (inciso segundo, literal b del numeral 6.1.3 del Capítulo I</w:t>
      </w:r>
      <w:r w:rsidR="00BF5CDB" w:rsidRPr="001050EA">
        <w:rPr>
          <w:spacing w:val="0"/>
          <w:sz w:val="18"/>
          <w:szCs w:val="18"/>
        </w:rPr>
        <w:t>-1</w:t>
      </w:r>
      <w:r w:rsidRPr="001050EA">
        <w:rPr>
          <w:spacing w:val="0"/>
          <w:sz w:val="18"/>
          <w:szCs w:val="18"/>
        </w:rPr>
        <w:t xml:space="preserve"> de la </w:t>
      </w:r>
      <w:r w:rsidR="0024376A" w:rsidRPr="001050EA">
        <w:rPr>
          <w:spacing w:val="0"/>
          <w:sz w:val="18"/>
          <w:szCs w:val="18"/>
        </w:rPr>
        <w:t>CBCF</w:t>
      </w:r>
      <w:r w:rsidRPr="001050EA">
        <w:rPr>
          <w:spacing w:val="0"/>
          <w:sz w:val="18"/>
          <w:szCs w:val="18"/>
        </w:rPr>
        <w:t>).</w:t>
      </w:r>
    </w:p>
    <w:p w14:paraId="2543CD8E" w14:textId="77777777" w:rsidR="00224CF0" w:rsidRPr="001050EA" w:rsidRDefault="00224CF0" w:rsidP="00830C68">
      <w:pPr>
        <w:pStyle w:val="Textoindependiente"/>
        <w:rPr>
          <w:spacing w:val="0"/>
          <w:sz w:val="18"/>
          <w:szCs w:val="18"/>
        </w:rPr>
      </w:pPr>
    </w:p>
    <w:p w14:paraId="35318020" w14:textId="395B99FE" w:rsidR="00224CF0" w:rsidRPr="001050EA" w:rsidRDefault="00224CF0" w:rsidP="00830C68">
      <w:pPr>
        <w:pStyle w:val="Textoindependiente"/>
        <w:rPr>
          <w:spacing w:val="0"/>
          <w:sz w:val="18"/>
          <w:szCs w:val="18"/>
        </w:rPr>
      </w:pPr>
      <w:r w:rsidRPr="001050EA">
        <w:rPr>
          <w:spacing w:val="0"/>
          <w:sz w:val="18"/>
          <w:szCs w:val="18"/>
        </w:rPr>
        <w:t>Para el cálculo de la exposición al riesgo de tasa de cambio, la entida</w:t>
      </w:r>
      <w:r w:rsidR="00E857B7" w:rsidRPr="001050EA">
        <w:rPr>
          <w:spacing w:val="0"/>
          <w:sz w:val="18"/>
          <w:szCs w:val="18"/>
        </w:rPr>
        <w:t>d</w:t>
      </w:r>
      <w:r w:rsidRPr="001050EA">
        <w:rPr>
          <w:spacing w:val="0"/>
          <w:sz w:val="18"/>
          <w:szCs w:val="18"/>
        </w:rPr>
        <w:t xml:space="preserve"> vigilada debe calcular la sensibilidad neta en cada moneda como el producto de la posición neta y el factor de sensibilidad correspondiente definido en la Tabla 2. Esta sensibilidad tendrá un valor positivo cuando la posición neta en una moneda sea larga y negativo cuando la posición neta sea corta.</w:t>
      </w:r>
    </w:p>
    <w:p w14:paraId="470D26AA" w14:textId="77777777" w:rsidR="00224CF0" w:rsidRPr="001050EA" w:rsidRDefault="00224CF0" w:rsidP="00830C68">
      <w:pPr>
        <w:pStyle w:val="Textoindependiente"/>
        <w:rPr>
          <w:spacing w:val="0"/>
          <w:sz w:val="18"/>
          <w:szCs w:val="18"/>
        </w:rPr>
      </w:pPr>
    </w:p>
    <w:p w14:paraId="1BEE860B" w14:textId="77777777" w:rsidR="00DE2D5A" w:rsidRPr="001050EA" w:rsidRDefault="00DE2D5A" w:rsidP="00830C68">
      <w:pPr>
        <w:pStyle w:val="Textoindependiente"/>
        <w:rPr>
          <w:spacing w:val="0"/>
          <w:sz w:val="18"/>
          <w:szCs w:val="22"/>
        </w:rPr>
      </w:pPr>
      <w:r w:rsidRPr="001050EA">
        <w:rPr>
          <w:spacing w:val="0"/>
          <w:sz w:val="18"/>
          <w:szCs w:val="22"/>
        </w:rPr>
        <w:t>Para los casos en donde la entidad vigilada tenga inversiones en subordinadas del exterior, se debe emplear el factor de sensibilidad definido en la Tabla 2, correspondiente a la moneda de cada país en donde se encuentre domiciliada la respectiva subordinada.</w:t>
      </w:r>
    </w:p>
    <w:p w14:paraId="0B5D78C3" w14:textId="77777777" w:rsidR="00DE2D5A" w:rsidRPr="001050EA" w:rsidRDefault="00DE2D5A" w:rsidP="00830C68">
      <w:pPr>
        <w:pStyle w:val="Textoindependiente"/>
        <w:rPr>
          <w:spacing w:val="0"/>
          <w:sz w:val="18"/>
          <w:szCs w:val="18"/>
        </w:rPr>
      </w:pPr>
    </w:p>
    <w:p w14:paraId="5E9115D5" w14:textId="77777777" w:rsidR="00224CF0" w:rsidRPr="001050EA" w:rsidRDefault="00224CF0" w:rsidP="00830C68">
      <w:pPr>
        <w:pStyle w:val="Textoindependiente"/>
        <w:rPr>
          <w:spacing w:val="0"/>
          <w:sz w:val="18"/>
          <w:szCs w:val="18"/>
        </w:rPr>
      </w:pPr>
      <w:r w:rsidRPr="001050EA">
        <w:rPr>
          <w:spacing w:val="0"/>
          <w:sz w:val="18"/>
          <w:szCs w:val="18"/>
        </w:rPr>
        <w:t>La exposición al riesgo de tasa de cambio se calcula entonces como la suma de los siguientes componentes:</w:t>
      </w:r>
    </w:p>
    <w:p w14:paraId="7EFF708E" w14:textId="77777777" w:rsidR="00DE77A7" w:rsidRPr="001050EA" w:rsidRDefault="00DE77A7" w:rsidP="00830C68">
      <w:pPr>
        <w:pStyle w:val="Textoindependiente"/>
        <w:rPr>
          <w:spacing w:val="0"/>
          <w:sz w:val="18"/>
          <w:szCs w:val="18"/>
        </w:rPr>
      </w:pPr>
    </w:p>
    <w:p w14:paraId="288DF22C" w14:textId="79A79456" w:rsidR="00DE77A7" w:rsidRPr="001050EA" w:rsidRDefault="00224CF0" w:rsidP="00830C68">
      <w:pPr>
        <w:pStyle w:val="Textoindependiente"/>
        <w:numPr>
          <w:ilvl w:val="1"/>
          <w:numId w:val="6"/>
        </w:numPr>
        <w:tabs>
          <w:tab w:val="clear" w:pos="1440"/>
          <w:tab w:val="num" w:pos="284"/>
        </w:tabs>
        <w:ind w:left="284" w:hanging="284"/>
        <w:rPr>
          <w:spacing w:val="0"/>
          <w:sz w:val="18"/>
          <w:szCs w:val="18"/>
        </w:rPr>
      </w:pPr>
      <w:r w:rsidRPr="001050EA">
        <w:rPr>
          <w:spacing w:val="0"/>
          <w:sz w:val="18"/>
          <w:szCs w:val="18"/>
        </w:rPr>
        <w:t>El mayor valor entre la suma de las sensibilidades netas positivas y el valor absoluto de la suma de las sensibilidades netas negativas.</w:t>
      </w:r>
    </w:p>
    <w:p w14:paraId="2CF28D4C" w14:textId="77777777" w:rsidR="009201E2" w:rsidRPr="001050EA" w:rsidRDefault="009201E2" w:rsidP="009201E2">
      <w:pPr>
        <w:pStyle w:val="Textoindependiente"/>
        <w:ind w:left="284"/>
        <w:rPr>
          <w:spacing w:val="0"/>
          <w:sz w:val="18"/>
          <w:szCs w:val="18"/>
        </w:rPr>
      </w:pPr>
    </w:p>
    <w:p w14:paraId="68903BC0" w14:textId="70235F5E" w:rsidR="00DE77A7" w:rsidRPr="001050EA" w:rsidRDefault="00224CF0" w:rsidP="00830C68">
      <w:pPr>
        <w:pStyle w:val="Textoindependiente"/>
        <w:numPr>
          <w:ilvl w:val="1"/>
          <w:numId w:val="6"/>
        </w:numPr>
        <w:tabs>
          <w:tab w:val="clear" w:pos="1440"/>
          <w:tab w:val="num" w:pos="284"/>
        </w:tabs>
        <w:ind w:left="284" w:hanging="284"/>
        <w:rPr>
          <w:spacing w:val="0"/>
          <w:sz w:val="18"/>
          <w:szCs w:val="18"/>
        </w:rPr>
      </w:pPr>
      <w:r w:rsidRPr="001050EA">
        <w:rPr>
          <w:spacing w:val="0"/>
          <w:sz w:val="18"/>
          <w:szCs w:val="18"/>
        </w:rPr>
        <w:t>Para las entidades elegibles para la aproximación simplificada de tratamiento de opciones descrita en 2.1.6.1</w:t>
      </w:r>
      <w:r w:rsidR="00D47395" w:rsidRPr="001050EA">
        <w:rPr>
          <w:spacing w:val="0"/>
          <w:sz w:val="18"/>
          <w:szCs w:val="18"/>
        </w:rPr>
        <w:t xml:space="preserve"> del presente Anexo</w:t>
      </w:r>
      <w:r w:rsidRPr="001050EA">
        <w:rPr>
          <w:spacing w:val="0"/>
          <w:sz w:val="18"/>
          <w:szCs w:val="18"/>
        </w:rPr>
        <w:t>, la exposición resultante de las posiciones en opciones sobre monedas, o</w:t>
      </w:r>
    </w:p>
    <w:p w14:paraId="180E9349" w14:textId="77777777" w:rsidR="009201E2" w:rsidRPr="001050EA" w:rsidRDefault="009201E2" w:rsidP="009201E2">
      <w:pPr>
        <w:pStyle w:val="Textoindependiente"/>
        <w:rPr>
          <w:spacing w:val="0"/>
          <w:sz w:val="18"/>
          <w:szCs w:val="18"/>
        </w:rPr>
      </w:pPr>
    </w:p>
    <w:p w14:paraId="005136AE" w14:textId="64F72DDE" w:rsidR="00224CF0" w:rsidRPr="001050EA" w:rsidRDefault="00224CF0" w:rsidP="00830C68">
      <w:pPr>
        <w:pStyle w:val="Textoindependiente"/>
        <w:numPr>
          <w:ilvl w:val="1"/>
          <w:numId w:val="6"/>
        </w:numPr>
        <w:tabs>
          <w:tab w:val="clear" w:pos="1440"/>
          <w:tab w:val="num" w:pos="284"/>
        </w:tabs>
        <w:ind w:left="284" w:hanging="284"/>
        <w:rPr>
          <w:spacing w:val="0"/>
          <w:sz w:val="18"/>
          <w:szCs w:val="18"/>
        </w:rPr>
      </w:pPr>
      <w:r w:rsidRPr="001050EA">
        <w:rPr>
          <w:spacing w:val="0"/>
          <w:sz w:val="18"/>
          <w:szCs w:val="18"/>
        </w:rPr>
        <w:t>Para las entidades que deban aplicar la metodología intermedia descrita en el numeral 2.1.6.2</w:t>
      </w:r>
      <w:r w:rsidR="00731A18" w:rsidRPr="001050EA">
        <w:rPr>
          <w:spacing w:val="0"/>
          <w:sz w:val="18"/>
          <w:szCs w:val="18"/>
        </w:rPr>
        <w:t xml:space="preserve"> del presente Anexo</w:t>
      </w:r>
      <w:r w:rsidRPr="001050EA">
        <w:rPr>
          <w:spacing w:val="0"/>
          <w:sz w:val="18"/>
          <w:szCs w:val="18"/>
        </w:rPr>
        <w:t xml:space="preserve">, los cargos correspondientes a los riesgos </w:t>
      </w:r>
      <w:r w:rsidRPr="001050EA">
        <w:rPr>
          <w:i/>
          <w:iCs/>
          <w:spacing w:val="0"/>
          <w:sz w:val="18"/>
          <w:szCs w:val="18"/>
        </w:rPr>
        <w:t xml:space="preserve">Gamma </w:t>
      </w:r>
      <w:r w:rsidRPr="001050EA">
        <w:rPr>
          <w:spacing w:val="0"/>
          <w:sz w:val="18"/>
          <w:szCs w:val="18"/>
        </w:rPr>
        <w:t xml:space="preserve">y </w:t>
      </w:r>
      <w:r w:rsidRPr="001050EA">
        <w:rPr>
          <w:i/>
          <w:iCs/>
          <w:spacing w:val="0"/>
          <w:sz w:val="18"/>
          <w:szCs w:val="18"/>
        </w:rPr>
        <w:t xml:space="preserve">Vega </w:t>
      </w:r>
      <w:r w:rsidRPr="001050EA">
        <w:rPr>
          <w:spacing w:val="0"/>
          <w:sz w:val="18"/>
          <w:szCs w:val="18"/>
        </w:rPr>
        <w:t>de dichas opciones.</w:t>
      </w:r>
    </w:p>
    <w:p w14:paraId="46AB6356" w14:textId="77777777" w:rsidR="00224CF0" w:rsidRPr="001050EA" w:rsidRDefault="00224CF0" w:rsidP="00830C68">
      <w:pPr>
        <w:pStyle w:val="Textoindependiente"/>
        <w:rPr>
          <w:spacing w:val="0"/>
          <w:sz w:val="18"/>
          <w:szCs w:val="18"/>
        </w:rPr>
      </w:pPr>
    </w:p>
    <w:p w14:paraId="380EC7F1" w14:textId="52DBDF47" w:rsidR="00224CF0" w:rsidRPr="001050EA" w:rsidRDefault="00224CF0" w:rsidP="00EA1EBA">
      <w:pPr>
        <w:pStyle w:val="Textoindependiente"/>
        <w:numPr>
          <w:ilvl w:val="2"/>
          <w:numId w:val="23"/>
        </w:numPr>
        <w:rPr>
          <w:bCs/>
          <w:spacing w:val="0"/>
          <w:sz w:val="18"/>
          <w:szCs w:val="18"/>
        </w:rPr>
      </w:pPr>
      <w:r w:rsidRPr="001050EA">
        <w:rPr>
          <w:bCs/>
          <w:spacing w:val="0"/>
          <w:sz w:val="18"/>
          <w:szCs w:val="18"/>
        </w:rPr>
        <w:t>Riesgo de precio de acciones</w:t>
      </w:r>
    </w:p>
    <w:p w14:paraId="2A19276B" w14:textId="77777777" w:rsidR="00224CF0" w:rsidRPr="001050EA" w:rsidRDefault="00224CF0" w:rsidP="00830C68">
      <w:pPr>
        <w:pStyle w:val="Textoindependiente"/>
        <w:rPr>
          <w:b/>
          <w:bCs/>
          <w:spacing w:val="0"/>
          <w:sz w:val="18"/>
          <w:szCs w:val="18"/>
        </w:rPr>
      </w:pPr>
    </w:p>
    <w:p w14:paraId="2209F68F" w14:textId="77777777" w:rsidR="00224CF0" w:rsidRPr="001050EA" w:rsidRDefault="00224CF0" w:rsidP="00830C68">
      <w:pPr>
        <w:pStyle w:val="Textoindependiente"/>
        <w:rPr>
          <w:spacing w:val="0"/>
          <w:sz w:val="18"/>
          <w:szCs w:val="18"/>
        </w:rPr>
      </w:pPr>
      <w:r w:rsidRPr="001050EA">
        <w:rPr>
          <w:spacing w:val="0"/>
          <w:sz w:val="18"/>
          <w:szCs w:val="18"/>
        </w:rPr>
        <w:t>Esta sección muestra la metodología para calcular los riesgos asociados a tomar o mantener posiciones en acciones en el libro de tesorería.</w:t>
      </w:r>
    </w:p>
    <w:p w14:paraId="734498BF" w14:textId="77777777" w:rsidR="00224CF0" w:rsidRPr="001050EA" w:rsidRDefault="00224CF0" w:rsidP="00830C68">
      <w:pPr>
        <w:pStyle w:val="Textoindependiente"/>
        <w:rPr>
          <w:spacing w:val="0"/>
          <w:sz w:val="18"/>
          <w:szCs w:val="18"/>
        </w:rPr>
      </w:pPr>
    </w:p>
    <w:p w14:paraId="29A4DE8F" w14:textId="3B63FE85" w:rsidR="00224CF0" w:rsidRPr="001050EA" w:rsidRDefault="00224CF0" w:rsidP="00830C68">
      <w:pPr>
        <w:pStyle w:val="Textoindependiente"/>
        <w:rPr>
          <w:spacing w:val="0"/>
          <w:sz w:val="18"/>
          <w:szCs w:val="18"/>
        </w:rPr>
      </w:pPr>
      <w:r w:rsidRPr="001050EA">
        <w:rPr>
          <w:spacing w:val="0"/>
          <w:sz w:val="18"/>
          <w:szCs w:val="18"/>
        </w:rPr>
        <w:t xml:space="preserve">Para efectos de lo estipulado en el presente </w:t>
      </w:r>
      <w:r w:rsidR="00535169" w:rsidRPr="001050EA">
        <w:rPr>
          <w:spacing w:val="0"/>
          <w:sz w:val="18"/>
          <w:szCs w:val="18"/>
        </w:rPr>
        <w:t>sub</w:t>
      </w:r>
      <w:r w:rsidRPr="001050EA">
        <w:rPr>
          <w:spacing w:val="0"/>
          <w:sz w:val="18"/>
          <w:szCs w:val="18"/>
        </w:rPr>
        <w:t>numeral deben tenerse en cuenta:</w:t>
      </w:r>
    </w:p>
    <w:p w14:paraId="34FAE180" w14:textId="77777777" w:rsidR="00224CF0" w:rsidRPr="001050EA" w:rsidRDefault="00224CF0" w:rsidP="00830C68">
      <w:pPr>
        <w:pStyle w:val="Textoindependiente"/>
        <w:rPr>
          <w:spacing w:val="0"/>
          <w:sz w:val="18"/>
          <w:szCs w:val="18"/>
        </w:rPr>
      </w:pPr>
    </w:p>
    <w:p w14:paraId="17A9C544" w14:textId="61C94583" w:rsidR="00224CF0" w:rsidRPr="001050EA" w:rsidRDefault="00224CF0" w:rsidP="00830C68">
      <w:pPr>
        <w:pStyle w:val="Textoindependiente"/>
        <w:numPr>
          <w:ilvl w:val="0"/>
          <w:numId w:val="8"/>
        </w:numPr>
        <w:tabs>
          <w:tab w:val="clear" w:pos="720"/>
          <w:tab w:val="num" w:pos="284"/>
        </w:tabs>
        <w:ind w:left="284" w:hanging="284"/>
        <w:rPr>
          <w:spacing w:val="0"/>
          <w:sz w:val="18"/>
          <w:szCs w:val="18"/>
        </w:rPr>
      </w:pPr>
      <w:r w:rsidRPr="001050EA">
        <w:rPr>
          <w:spacing w:val="0"/>
          <w:sz w:val="18"/>
          <w:szCs w:val="18"/>
        </w:rPr>
        <w:t>Las inversiones en títulos participativos incluidas en el libro de tesorería, incluyendo las inversiones en acciones emitidas en el exterior y listadas en Colombia.</w:t>
      </w:r>
    </w:p>
    <w:p w14:paraId="017CB019" w14:textId="77777777" w:rsidR="009201E2" w:rsidRPr="001050EA" w:rsidRDefault="009201E2" w:rsidP="009201E2">
      <w:pPr>
        <w:pStyle w:val="Textoindependiente"/>
        <w:ind w:left="284"/>
        <w:rPr>
          <w:spacing w:val="0"/>
          <w:sz w:val="18"/>
          <w:szCs w:val="18"/>
        </w:rPr>
      </w:pPr>
    </w:p>
    <w:p w14:paraId="67018C68" w14:textId="21C5CF05" w:rsidR="00224CF0" w:rsidRPr="001050EA" w:rsidRDefault="00224CF0" w:rsidP="00830C68">
      <w:pPr>
        <w:pStyle w:val="Textoindependiente"/>
        <w:numPr>
          <w:ilvl w:val="0"/>
          <w:numId w:val="8"/>
        </w:numPr>
        <w:tabs>
          <w:tab w:val="clear" w:pos="720"/>
          <w:tab w:val="num" w:pos="284"/>
        </w:tabs>
        <w:ind w:left="284" w:hanging="284"/>
        <w:rPr>
          <w:spacing w:val="0"/>
          <w:sz w:val="18"/>
          <w:szCs w:val="18"/>
        </w:rPr>
      </w:pPr>
      <w:r w:rsidRPr="001050EA">
        <w:rPr>
          <w:spacing w:val="0"/>
          <w:sz w:val="18"/>
          <w:szCs w:val="18"/>
        </w:rPr>
        <w:t xml:space="preserve">Para el caso de los </w:t>
      </w:r>
      <w:r w:rsidR="0024376A" w:rsidRPr="001050EA">
        <w:rPr>
          <w:spacing w:val="0"/>
          <w:sz w:val="18"/>
          <w:szCs w:val="18"/>
        </w:rPr>
        <w:t>EC</w:t>
      </w:r>
      <w:r w:rsidRPr="001050EA">
        <w:rPr>
          <w:spacing w:val="0"/>
          <w:sz w:val="18"/>
          <w:szCs w:val="18"/>
        </w:rPr>
        <w:t xml:space="preserve">, en concordancia con lo establecido en el literal b) del </w:t>
      </w:r>
      <w:r w:rsidR="00FC0CE4" w:rsidRPr="001050EA">
        <w:rPr>
          <w:spacing w:val="0"/>
          <w:sz w:val="18"/>
          <w:szCs w:val="18"/>
        </w:rPr>
        <w:t>2.1.1.2.7 del Decreto 2555 de 2010</w:t>
      </w:r>
      <w:r w:rsidRPr="001050EA">
        <w:rPr>
          <w:spacing w:val="0"/>
          <w:sz w:val="18"/>
          <w:szCs w:val="18"/>
        </w:rPr>
        <w:t xml:space="preserve"> o demás normas que lo sustituyan, modifiquen o subroguen, las inversiones en títulos participativos de baja o mínima bursatilidad computan por su valor neto de provisiones ajustado por el 50 % de sus valorizaciones y/o el 100% de sus desvalorizaciones, según corresponda.</w:t>
      </w:r>
    </w:p>
    <w:p w14:paraId="41744F4B" w14:textId="3E977645" w:rsidR="00224CF0" w:rsidRPr="001050EA" w:rsidRDefault="00224CF0" w:rsidP="00830C68">
      <w:pPr>
        <w:pStyle w:val="Textoindependiente"/>
        <w:numPr>
          <w:ilvl w:val="0"/>
          <w:numId w:val="8"/>
        </w:numPr>
        <w:tabs>
          <w:tab w:val="clear" w:pos="720"/>
          <w:tab w:val="num" w:pos="284"/>
        </w:tabs>
        <w:ind w:left="284" w:hanging="284"/>
        <w:rPr>
          <w:spacing w:val="0"/>
          <w:sz w:val="18"/>
          <w:szCs w:val="18"/>
        </w:rPr>
      </w:pPr>
      <w:r w:rsidRPr="001050EA">
        <w:rPr>
          <w:spacing w:val="0"/>
          <w:sz w:val="18"/>
          <w:szCs w:val="18"/>
        </w:rPr>
        <w:lastRenderedPageBreak/>
        <w:t xml:space="preserve">En el mismo sentido, las inversiones disponibles para la venta en títulos participativos de alta o media </w:t>
      </w:r>
      <w:r w:rsidR="00484BEE" w:rsidRPr="001050EA">
        <w:rPr>
          <w:spacing w:val="0"/>
          <w:sz w:val="18"/>
          <w:szCs w:val="18"/>
        </w:rPr>
        <w:t>bursatilidad</w:t>
      </w:r>
      <w:r w:rsidRPr="001050EA">
        <w:rPr>
          <w:spacing w:val="0"/>
          <w:sz w:val="18"/>
          <w:szCs w:val="18"/>
        </w:rPr>
        <w:t xml:space="preserve"> computan por su valor a precios de mercado, ajustado por el 50 % de las ganancias o pérdidas no realizadas asociadas a tales inversiones.</w:t>
      </w:r>
    </w:p>
    <w:p w14:paraId="6B4AE932" w14:textId="77777777" w:rsidR="009201E2" w:rsidRPr="001050EA" w:rsidRDefault="009201E2" w:rsidP="009201E2">
      <w:pPr>
        <w:pStyle w:val="Textoindependiente"/>
        <w:ind w:left="284"/>
        <w:rPr>
          <w:spacing w:val="0"/>
          <w:sz w:val="18"/>
          <w:szCs w:val="18"/>
        </w:rPr>
      </w:pPr>
    </w:p>
    <w:p w14:paraId="2612BE19" w14:textId="33E115C5" w:rsidR="00224CF0" w:rsidRPr="001050EA" w:rsidRDefault="00224CF0" w:rsidP="00830C68">
      <w:pPr>
        <w:pStyle w:val="Textoindependiente"/>
        <w:numPr>
          <w:ilvl w:val="0"/>
          <w:numId w:val="8"/>
        </w:numPr>
        <w:tabs>
          <w:tab w:val="clear" w:pos="720"/>
          <w:tab w:val="num" w:pos="284"/>
        </w:tabs>
        <w:ind w:left="284" w:hanging="284"/>
        <w:rPr>
          <w:spacing w:val="0"/>
          <w:sz w:val="18"/>
          <w:szCs w:val="18"/>
        </w:rPr>
      </w:pPr>
      <w:r w:rsidRPr="001050EA">
        <w:rPr>
          <w:spacing w:val="0"/>
          <w:sz w:val="18"/>
          <w:szCs w:val="18"/>
        </w:rPr>
        <w:t xml:space="preserve">Las inversiones no contempladas en los literales b) y c) computan por su valor </w:t>
      </w:r>
      <w:r w:rsidR="00A64C93" w:rsidRPr="001050EA">
        <w:rPr>
          <w:spacing w:val="0"/>
          <w:sz w:val="18"/>
          <w:szCs w:val="18"/>
        </w:rPr>
        <w:t>de acuerdo con</w:t>
      </w:r>
      <w:r w:rsidRPr="001050EA">
        <w:rPr>
          <w:spacing w:val="0"/>
          <w:sz w:val="18"/>
          <w:szCs w:val="18"/>
        </w:rPr>
        <w:t xml:space="preserve"> las normas de valoración aplicables según lo dispuesto por las SFC.</w:t>
      </w:r>
    </w:p>
    <w:p w14:paraId="5D0CE654" w14:textId="77777777" w:rsidR="009201E2" w:rsidRPr="001050EA" w:rsidRDefault="009201E2" w:rsidP="009201E2">
      <w:pPr>
        <w:pStyle w:val="Textoindependiente"/>
        <w:rPr>
          <w:spacing w:val="0"/>
          <w:sz w:val="18"/>
          <w:szCs w:val="18"/>
        </w:rPr>
      </w:pPr>
    </w:p>
    <w:p w14:paraId="3813945B" w14:textId="4988375D" w:rsidR="00224CF0" w:rsidRPr="001050EA" w:rsidRDefault="00224CF0" w:rsidP="00830C68">
      <w:pPr>
        <w:pStyle w:val="Textoindependiente"/>
        <w:numPr>
          <w:ilvl w:val="0"/>
          <w:numId w:val="8"/>
        </w:numPr>
        <w:tabs>
          <w:tab w:val="clear" w:pos="720"/>
          <w:tab w:val="num" w:pos="284"/>
        </w:tabs>
        <w:ind w:left="284" w:hanging="284"/>
        <w:rPr>
          <w:spacing w:val="0"/>
          <w:sz w:val="18"/>
          <w:szCs w:val="18"/>
        </w:rPr>
      </w:pPr>
      <w:r w:rsidRPr="001050EA">
        <w:rPr>
          <w:spacing w:val="0"/>
          <w:sz w:val="18"/>
          <w:szCs w:val="18"/>
        </w:rPr>
        <w:t>Las posiciones en derivados cuyo subyacente sean acciones, tales como futuros y forwards sobre acciones individuales o índices de acciones. También deberán contemplarse las operaciones a plazo realizadas en las Bolsas de Valores.</w:t>
      </w:r>
    </w:p>
    <w:p w14:paraId="09C0BB56" w14:textId="77777777" w:rsidR="009201E2" w:rsidRPr="001050EA" w:rsidRDefault="009201E2" w:rsidP="009201E2">
      <w:pPr>
        <w:pStyle w:val="Textoindependiente"/>
        <w:rPr>
          <w:spacing w:val="0"/>
          <w:sz w:val="18"/>
          <w:szCs w:val="18"/>
        </w:rPr>
      </w:pPr>
    </w:p>
    <w:p w14:paraId="622F47A4" w14:textId="6689DF68" w:rsidR="00224CF0" w:rsidRPr="001050EA" w:rsidRDefault="00224CF0" w:rsidP="00830C68">
      <w:pPr>
        <w:pStyle w:val="Textoindependiente"/>
        <w:numPr>
          <w:ilvl w:val="0"/>
          <w:numId w:val="8"/>
        </w:numPr>
        <w:tabs>
          <w:tab w:val="clear" w:pos="720"/>
          <w:tab w:val="num" w:pos="284"/>
        </w:tabs>
        <w:ind w:left="284" w:hanging="284"/>
        <w:rPr>
          <w:spacing w:val="0"/>
          <w:sz w:val="18"/>
          <w:szCs w:val="18"/>
        </w:rPr>
      </w:pPr>
      <w:r w:rsidRPr="001050EA">
        <w:rPr>
          <w:spacing w:val="0"/>
          <w:sz w:val="18"/>
          <w:szCs w:val="18"/>
        </w:rPr>
        <w:t>Adicionalmente deben ser tenidas en cuenta las posiciones delta ponderadas de las opciones sobre acciones, siempre que la metodología aplicada por las entidades sea la descrita en el numeral 2.1.6.2</w:t>
      </w:r>
      <w:r w:rsidR="00D84047" w:rsidRPr="001050EA">
        <w:rPr>
          <w:spacing w:val="0"/>
          <w:sz w:val="18"/>
          <w:szCs w:val="18"/>
        </w:rPr>
        <w:t xml:space="preserve"> del presente Anexo</w:t>
      </w:r>
      <w:r w:rsidRPr="001050EA">
        <w:rPr>
          <w:spacing w:val="0"/>
          <w:sz w:val="18"/>
          <w:szCs w:val="18"/>
        </w:rPr>
        <w:t>.</w:t>
      </w:r>
    </w:p>
    <w:p w14:paraId="4ADC3D96" w14:textId="77777777" w:rsidR="007957FA" w:rsidRPr="001050EA" w:rsidRDefault="007957FA" w:rsidP="00830C68">
      <w:pPr>
        <w:pStyle w:val="Textoindependiente"/>
        <w:rPr>
          <w:spacing w:val="0"/>
          <w:sz w:val="18"/>
          <w:szCs w:val="18"/>
        </w:rPr>
      </w:pPr>
    </w:p>
    <w:p w14:paraId="7E33899E" w14:textId="77777777" w:rsidR="007957FA" w:rsidRPr="001050EA" w:rsidRDefault="007957FA" w:rsidP="00830C68">
      <w:pPr>
        <w:pStyle w:val="Textoindependiente"/>
        <w:rPr>
          <w:spacing w:val="0"/>
          <w:sz w:val="18"/>
          <w:szCs w:val="18"/>
        </w:rPr>
      </w:pPr>
      <w:r w:rsidRPr="001050EA">
        <w:rPr>
          <w:spacing w:val="0"/>
          <w:sz w:val="18"/>
          <w:szCs w:val="18"/>
        </w:rPr>
        <w:t>Sin perjuicio de lo anterior, las siguientes inversiones deben excluirse del cálculo de la exposición al riesgo de cambio de precio en acciones:</w:t>
      </w:r>
    </w:p>
    <w:p w14:paraId="1A336258" w14:textId="77777777" w:rsidR="008B6B36" w:rsidRPr="001050EA" w:rsidRDefault="008B6B36" w:rsidP="00830C68">
      <w:pPr>
        <w:pStyle w:val="Textoindependiente"/>
        <w:rPr>
          <w:spacing w:val="0"/>
          <w:sz w:val="18"/>
          <w:szCs w:val="18"/>
        </w:rPr>
      </w:pPr>
    </w:p>
    <w:p w14:paraId="40508BD5" w14:textId="1D7D855F" w:rsidR="008B6B36" w:rsidRPr="001050EA" w:rsidRDefault="008B6B36" w:rsidP="00830C68">
      <w:pPr>
        <w:pStyle w:val="Textoindependiente"/>
        <w:numPr>
          <w:ilvl w:val="0"/>
          <w:numId w:val="4"/>
        </w:numPr>
        <w:tabs>
          <w:tab w:val="clear" w:pos="720"/>
          <w:tab w:val="num" w:pos="284"/>
        </w:tabs>
        <w:ind w:left="284" w:hanging="284"/>
        <w:rPr>
          <w:spacing w:val="0"/>
          <w:sz w:val="18"/>
          <w:szCs w:val="18"/>
        </w:rPr>
      </w:pPr>
      <w:r w:rsidRPr="001050EA">
        <w:rPr>
          <w:spacing w:val="0"/>
          <w:sz w:val="18"/>
          <w:szCs w:val="18"/>
        </w:rPr>
        <w:t xml:space="preserve">Para el caso de </w:t>
      </w:r>
      <w:r w:rsidR="0024376A" w:rsidRPr="001050EA">
        <w:rPr>
          <w:spacing w:val="0"/>
          <w:sz w:val="18"/>
          <w:szCs w:val="18"/>
        </w:rPr>
        <w:t>EC</w:t>
      </w:r>
      <w:r w:rsidRPr="001050EA">
        <w:rPr>
          <w:spacing w:val="0"/>
          <w:sz w:val="18"/>
          <w:szCs w:val="18"/>
        </w:rPr>
        <w:t xml:space="preserve">, las inversiones de que tratan los literales d) y e) del artículo </w:t>
      </w:r>
      <w:r w:rsidR="00FC0CE4" w:rsidRPr="001050EA">
        <w:rPr>
          <w:spacing w:val="0"/>
          <w:sz w:val="18"/>
          <w:szCs w:val="18"/>
        </w:rPr>
        <w:t>2.1.1.2.6 del Decreto 2555 de 2010</w:t>
      </w:r>
      <w:r w:rsidRPr="001050EA">
        <w:rPr>
          <w:spacing w:val="0"/>
          <w:sz w:val="18"/>
          <w:szCs w:val="18"/>
        </w:rPr>
        <w:t xml:space="preserve"> o demás normas que lo sustituyan, modifiquen o subroguen. Lo anterior porque estas inversiones ya fueron deducidas del patrimonio básico de la entidad.</w:t>
      </w:r>
    </w:p>
    <w:p w14:paraId="7372506B" w14:textId="77777777" w:rsidR="009201E2" w:rsidRPr="001050EA" w:rsidRDefault="009201E2" w:rsidP="009201E2">
      <w:pPr>
        <w:pStyle w:val="Textoindependiente"/>
        <w:ind w:left="284"/>
        <w:rPr>
          <w:spacing w:val="0"/>
          <w:sz w:val="18"/>
          <w:szCs w:val="18"/>
        </w:rPr>
      </w:pPr>
    </w:p>
    <w:p w14:paraId="6D113741" w14:textId="37201749" w:rsidR="008B6B36" w:rsidRPr="001050EA" w:rsidRDefault="008B6B36" w:rsidP="00830C68">
      <w:pPr>
        <w:pStyle w:val="Textoindependiente"/>
        <w:numPr>
          <w:ilvl w:val="0"/>
          <w:numId w:val="4"/>
        </w:numPr>
        <w:tabs>
          <w:tab w:val="clear" w:pos="720"/>
          <w:tab w:val="num" w:pos="284"/>
        </w:tabs>
        <w:ind w:left="284" w:hanging="284"/>
        <w:rPr>
          <w:spacing w:val="0"/>
          <w:sz w:val="18"/>
          <w:szCs w:val="18"/>
        </w:rPr>
      </w:pPr>
      <w:r w:rsidRPr="001050EA">
        <w:rPr>
          <w:spacing w:val="0"/>
          <w:sz w:val="18"/>
          <w:szCs w:val="18"/>
        </w:rPr>
        <w:t>Las inversiones en títulos participativos efectuadas en entidades sometidas a la inspección y vigilancia de la SFC, cuando se trate de entidades con respecto a las cuales haya lugar a consolidación.</w:t>
      </w:r>
    </w:p>
    <w:p w14:paraId="652A2941" w14:textId="77777777" w:rsidR="009201E2" w:rsidRPr="001050EA" w:rsidRDefault="009201E2" w:rsidP="009201E2">
      <w:pPr>
        <w:pStyle w:val="Textoindependiente"/>
        <w:ind w:left="284"/>
        <w:rPr>
          <w:spacing w:val="0"/>
          <w:sz w:val="18"/>
          <w:szCs w:val="18"/>
        </w:rPr>
      </w:pPr>
    </w:p>
    <w:p w14:paraId="4881A064" w14:textId="06769A3D" w:rsidR="008B6B36" w:rsidRPr="001050EA" w:rsidRDefault="008B6B36" w:rsidP="00830C68">
      <w:pPr>
        <w:pStyle w:val="Textoindependiente"/>
        <w:numPr>
          <w:ilvl w:val="0"/>
          <w:numId w:val="4"/>
        </w:numPr>
        <w:tabs>
          <w:tab w:val="clear" w:pos="720"/>
          <w:tab w:val="num" w:pos="284"/>
        </w:tabs>
        <w:ind w:left="284" w:hanging="284"/>
        <w:rPr>
          <w:spacing w:val="0"/>
          <w:sz w:val="18"/>
          <w:szCs w:val="18"/>
        </w:rPr>
      </w:pPr>
      <w:r w:rsidRPr="001050EA">
        <w:rPr>
          <w:spacing w:val="0"/>
          <w:sz w:val="18"/>
          <w:szCs w:val="18"/>
        </w:rPr>
        <w:t xml:space="preserve">En el mismo sentido, para el caso de las </w:t>
      </w:r>
      <w:r w:rsidR="0024376A" w:rsidRPr="001050EA">
        <w:rPr>
          <w:spacing w:val="0"/>
          <w:sz w:val="18"/>
          <w:szCs w:val="18"/>
        </w:rPr>
        <w:t>SCBV</w:t>
      </w:r>
      <w:r w:rsidRPr="001050EA">
        <w:rPr>
          <w:spacing w:val="0"/>
          <w:sz w:val="18"/>
          <w:szCs w:val="18"/>
        </w:rPr>
        <w:t>, las inversiones de que trata el numeral 1 del Artículo 2.</w:t>
      </w:r>
      <w:r w:rsidR="0024376A" w:rsidRPr="001050EA">
        <w:rPr>
          <w:spacing w:val="0"/>
          <w:sz w:val="18"/>
          <w:szCs w:val="18"/>
        </w:rPr>
        <w:t>9.1.1.5 del Decreto 2555 de 2010 y</w:t>
      </w:r>
      <w:r w:rsidRPr="001050EA">
        <w:rPr>
          <w:spacing w:val="0"/>
          <w:sz w:val="18"/>
          <w:szCs w:val="18"/>
        </w:rPr>
        <w:t xml:space="preserve"> demás normas que lo sustituyan</w:t>
      </w:r>
      <w:r w:rsidR="0024376A" w:rsidRPr="001050EA">
        <w:rPr>
          <w:spacing w:val="0"/>
          <w:sz w:val="18"/>
          <w:szCs w:val="18"/>
        </w:rPr>
        <w:t xml:space="preserve"> o</w:t>
      </w:r>
      <w:r w:rsidRPr="001050EA">
        <w:rPr>
          <w:spacing w:val="0"/>
          <w:sz w:val="18"/>
          <w:szCs w:val="18"/>
        </w:rPr>
        <w:t xml:space="preserve"> modifiquen</w:t>
      </w:r>
      <w:r w:rsidR="0024376A" w:rsidRPr="001050EA">
        <w:rPr>
          <w:spacing w:val="0"/>
          <w:sz w:val="18"/>
          <w:szCs w:val="18"/>
        </w:rPr>
        <w:t>,</w:t>
      </w:r>
      <w:r w:rsidRPr="001050EA">
        <w:rPr>
          <w:spacing w:val="0"/>
          <w:sz w:val="18"/>
          <w:szCs w:val="18"/>
        </w:rPr>
        <w:t xml:space="preserve"> no deben tenerse en cuenta para el cálculo del cargo de capital a que hace referencia el presente numeral toda vez que ya han sido deducidas del capital primario de la entidad</w:t>
      </w:r>
      <w:r w:rsidR="009201E2" w:rsidRPr="001050EA">
        <w:rPr>
          <w:spacing w:val="0"/>
          <w:sz w:val="18"/>
          <w:szCs w:val="18"/>
        </w:rPr>
        <w:t>.</w:t>
      </w:r>
    </w:p>
    <w:p w14:paraId="0F07BE66" w14:textId="77777777" w:rsidR="009201E2" w:rsidRPr="001050EA" w:rsidRDefault="009201E2" w:rsidP="009201E2">
      <w:pPr>
        <w:pStyle w:val="Textoindependiente"/>
        <w:rPr>
          <w:spacing w:val="0"/>
          <w:sz w:val="18"/>
          <w:szCs w:val="18"/>
        </w:rPr>
      </w:pPr>
    </w:p>
    <w:p w14:paraId="2FF2E5D6" w14:textId="43DE7230" w:rsidR="008B6B36" w:rsidRPr="001050EA" w:rsidRDefault="008B6B36" w:rsidP="00830C68">
      <w:pPr>
        <w:pStyle w:val="Textoindependiente"/>
        <w:numPr>
          <w:ilvl w:val="0"/>
          <w:numId w:val="4"/>
        </w:numPr>
        <w:tabs>
          <w:tab w:val="clear" w:pos="720"/>
          <w:tab w:val="num" w:pos="284"/>
        </w:tabs>
        <w:ind w:left="284" w:hanging="284"/>
        <w:rPr>
          <w:sz w:val="18"/>
          <w:szCs w:val="18"/>
        </w:rPr>
      </w:pPr>
      <w:r w:rsidRPr="001050EA">
        <w:rPr>
          <w:spacing w:val="0"/>
          <w:sz w:val="18"/>
          <w:szCs w:val="18"/>
        </w:rPr>
        <w:t>Las inversiones constituidas dentro de procesos de reestructuración realizados de acuerdo con la Ley 550 de 1999 o demás normas que lo sustituyan, modifiquen o subroguen. Así mismo, no deben considerarse las acciones recibidas como dación en pago mientras permanezcan clasificadas como tales.</w:t>
      </w:r>
    </w:p>
    <w:p w14:paraId="47CF847D" w14:textId="77777777" w:rsidR="009201E2" w:rsidRPr="001050EA" w:rsidRDefault="009201E2" w:rsidP="009201E2">
      <w:pPr>
        <w:pStyle w:val="Textoindependiente"/>
        <w:ind w:left="284"/>
        <w:rPr>
          <w:sz w:val="18"/>
          <w:szCs w:val="18"/>
        </w:rPr>
      </w:pPr>
    </w:p>
    <w:p w14:paraId="1467FD7D" w14:textId="05EE69AD" w:rsidR="008B6B36" w:rsidRPr="001050EA" w:rsidRDefault="008B6B36" w:rsidP="00830C68">
      <w:pPr>
        <w:pStyle w:val="Textoindependiente"/>
        <w:numPr>
          <w:ilvl w:val="0"/>
          <w:numId w:val="4"/>
        </w:numPr>
        <w:tabs>
          <w:tab w:val="clear" w:pos="720"/>
          <w:tab w:val="num" w:pos="284"/>
        </w:tabs>
        <w:ind w:left="284" w:hanging="284"/>
        <w:rPr>
          <w:spacing w:val="0"/>
          <w:sz w:val="18"/>
          <w:szCs w:val="18"/>
        </w:rPr>
      </w:pPr>
      <w:r w:rsidRPr="001050EA">
        <w:rPr>
          <w:spacing w:val="0"/>
          <w:sz w:val="18"/>
          <w:szCs w:val="18"/>
        </w:rPr>
        <w:t xml:space="preserve">Para el caso de las corporaciones financieras, los valores participativos clasificados como inversiones disponibles para la venta que cumplan con las condiciones señaladas en el </w:t>
      </w:r>
      <w:r w:rsidR="00BF5CDB" w:rsidRPr="001050EA">
        <w:rPr>
          <w:spacing w:val="0"/>
          <w:sz w:val="18"/>
          <w:szCs w:val="18"/>
        </w:rPr>
        <w:t>inciso</w:t>
      </w:r>
      <w:r w:rsidRPr="001050EA">
        <w:rPr>
          <w:spacing w:val="0"/>
          <w:sz w:val="18"/>
          <w:szCs w:val="18"/>
        </w:rPr>
        <w:t xml:space="preserve"> del</w:t>
      </w:r>
      <w:r w:rsidR="00BF5CDB" w:rsidRPr="001050EA">
        <w:rPr>
          <w:spacing w:val="0"/>
          <w:sz w:val="18"/>
          <w:szCs w:val="18"/>
        </w:rPr>
        <w:t xml:space="preserve"> </w:t>
      </w:r>
      <w:r w:rsidR="00F56225" w:rsidRPr="001050EA">
        <w:rPr>
          <w:spacing w:val="0"/>
          <w:sz w:val="18"/>
          <w:szCs w:val="18"/>
        </w:rPr>
        <w:t>subn</w:t>
      </w:r>
      <w:r w:rsidR="002F172F" w:rsidRPr="001050EA">
        <w:rPr>
          <w:spacing w:val="0"/>
          <w:sz w:val="18"/>
          <w:szCs w:val="18"/>
        </w:rPr>
        <w:t>u</w:t>
      </w:r>
      <w:r w:rsidR="00F56225" w:rsidRPr="001050EA">
        <w:rPr>
          <w:spacing w:val="0"/>
          <w:sz w:val="18"/>
          <w:szCs w:val="18"/>
        </w:rPr>
        <w:t>meral</w:t>
      </w:r>
      <w:r w:rsidR="002F172F" w:rsidRPr="001050EA">
        <w:rPr>
          <w:spacing w:val="0"/>
          <w:sz w:val="18"/>
          <w:szCs w:val="18"/>
        </w:rPr>
        <w:t xml:space="preserve"> </w:t>
      </w:r>
      <w:r w:rsidR="00BF5CDB" w:rsidRPr="001050EA">
        <w:rPr>
          <w:spacing w:val="0"/>
          <w:sz w:val="18"/>
          <w:szCs w:val="18"/>
        </w:rPr>
        <w:t>3.3.1.2.1 de la Parte II del presente Capítulo.</w:t>
      </w:r>
      <w:r w:rsidRPr="001050EA">
        <w:rPr>
          <w:spacing w:val="0"/>
          <w:sz w:val="18"/>
          <w:szCs w:val="18"/>
        </w:rPr>
        <w:t xml:space="preserve"> </w:t>
      </w:r>
    </w:p>
    <w:p w14:paraId="74746778" w14:textId="77777777" w:rsidR="008B6B36" w:rsidRPr="001050EA" w:rsidRDefault="008B6B36" w:rsidP="00830C68">
      <w:pPr>
        <w:pStyle w:val="Textoindependiente"/>
        <w:rPr>
          <w:spacing w:val="0"/>
          <w:sz w:val="18"/>
          <w:szCs w:val="18"/>
        </w:rPr>
      </w:pPr>
    </w:p>
    <w:p w14:paraId="30B2563D" w14:textId="77777777" w:rsidR="008B6B36" w:rsidRPr="001050EA" w:rsidRDefault="00653110" w:rsidP="00830C68">
      <w:pPr>
        <w:pStyle w:val="Textoindependiente"/>
        <w:numPr>
          <w:ilvl w:val="3"/>
          <w:numId w:val="20"/>
        </w:numPr>
        <w:rPr>
          <w:spacing w:val="0"/>
          <w:sz w:val="18"/>
          <w:szCs w:val="18"/>
        </w:rPr>
      </w:pPr>
      <w:r w:rsidRPr="001050EA">
        <w:rPr>
          <w:spacing w:val="0"/>
          <w:sz w:val="18"/>
          <w:szCs w:val="18"/>
        </w:rPr>
        <w:t xml:space="preserve"> </w:t>
      </w:r>
      <w:r w:rsidR="008B6B36" w:rsidRPr="001050EA">
        <w:rPr>
          <w:spacing w:val="0"/>
          <w:sz w:val="18"/>
          <w:szCs w:val="18"/>
        </w:rPr>
        <w:t>Cálculo del riesgo de precio de acciones</w:t>
      </w:r>
    </w:p>
    <w:p w14:paraId="44A32E83" w14:textId="77777777" w:rsidR="008B6B36" w:rsidRPr="001050EA" w:rsidRDefault="008B6B36" w:rsidP="00830C68">
      <w:pPr>
        <w:pStyle w:val="Textoindependiente"/>
        <w:rPr>
          <w:b/>
          <w:bCs/>
          <w:spacing w:val="0"/>
          <w:sz w:val="18"/>
          <w:szCs w:val="18"/>
        </w:rPr>
      </w:pPr>
    </w:p>
    <w:p w14:paraId="433C34F3" w14:textId="04AE5FE0" w:rsidR="008B6B36" w:rsidRPr="001050EA" w:rsidRDefault="008B6B36" w:rsidP="00830C68">
      <w:pPr>
        <w:pStyle w:val="Textoindependiente"/>
        <w:rPr>
          <w:spacing w:val="0"/>
          <w:sz w:val="18"/>
          <w:szCs w:val="18"/>
        </w:rPr>
      </w:pPr>
      <w:r w:rsidRPr="001050EA">
        <w:rPr>
          <w:spacing w:val="0"/>
          <w:sz w:val="18"/>
          <w:szCs w:val="18"/>
        </w:rPr>
        <w:t>El cálculo de riesgo de precio de acciones busca capturar el riesgo asociado a movimientos adversos en el mercado accionario y corresponde a la suma de las posiciones netas ponderadas en cada acción. Con el fin de tener en cuenta las distintas sensibilidades de los precios de acciones particulares a movimientos en el índice del mercado, la posición neta ponderada de cada acción corresponde al producto de 2 componentes:</w:t>
      </w:r>
    </w:p>
    <w:p w14:paraId="77C8348D" w14:textId="77777777" w:rsidR="008B6B36" w:rsidRPr="001050EA" w:rsidRDefault="008B6B36" w:rsidP="00830C68">
      <w:pPr>
        <w:pStyle w:val="Textoindependiente"/>
        <w:rPr>
          <w:spacing w:val="0"/>
          <w:sz w:val="18"/>
          <w:szCs w:val="18"/>
        </w:rPr>
      </w:pPr>
    </w:p>
    <w:p w14:paraId="5695031A" w14:textId="03C3657F" w:rsidR="008B6B36" w:rsidRDefault="008B6B36" w:rsidP="00830C68">
      <w:pPr>
        <w:pStyle w:val="Textoindependiente"/>
        <w:numPr>
          <w:ilvl w:val="0"/>
          <w:numId w:val="5"/>
        </w:numPr>
        <w:tabs>
          <w:tab w:val="clear" w:pos="720"/>
          <w:tab w:val="num" w:pos="284"/>
        </w:tabs>
        <w:ind w:left="284" w:hanging="284"/>
        <w:rPr>
          <w:spacing w:val="0"/>
          <w:sz w:val="18"/>
          <w:szCs w:val="18"/>
        </w:rPr>
      </w:pPr>
      <w:r w:rsidRPr="001050EA">
        <w:rPr>
          <w:spacing w:val="0"/>
          <w:sz w:val="18"/>
          <w:szCs w:val="18"/>
        </w:rPr>
        <w:t>La posición neta en cada acción.</w:t>
      </w:r>
    </w:p>
    <w:p w14:paraId="7A19615F" w14:textId="77777777" w:rsidR="00FA4ACA" w:rsidRPr="001050EA" w:rsidRDefault="00FA4ACA" w:rsidP="00FA4ACA">
      <w:pPr>
        <w:pStyle w:val="Textoindependiente"/>
        <w:ind w:left="284"/>
        <w:rPr>
          <w:spacing w:val="0"/>
          <w:sz w:val="18"/>
          <w:szCs w:val="18"/>
        </w:rPr>
      </w:pPr>
    </w:p>
    <w:p w14:paraId="2DA4DC48" w14:textId="30A0BEB6" w:rsidR="008B6B36" w:rsidRPr="001050EA" w:rsidRDefault="008B6B36" w:rsidP="00830C68">
      <w:pPr>
        <w:pStyle w:val="Textoindependiente"/>
        <w:numPr>
          <w:ilvl w:val="0"/>
          <w:numId w:val="5"/>
        </w:numPr>
        <w:tabs>
          <w:tab w:val="clear" w:pos="720"/>
          <w:tab w:val="num" w:pos="284"/>
        </w:tabs>
        <w:ind w:left="284" w:hanging="284"/>
        <w:rPr>
          <w:spacing w:val="0"/>
          <w:sz w:val="18"/>
          <w:szCs w:val="18"/>
        </w:rPr>
      </w:pPr>
      <w:r w:rsidRPr="001050EA">
        <w:rPr>
          <w:spacing w:val="0"/>
          <w:sz w:val="18"/>
          <w:szCs w:val="18"/>
        </w:rPr>
        <w:t>El factor de sensibilidad al riesgo general de acciones definido en la Tabla 2</w:t>
      </w:r>
      <w:r w:rsidR="00E857B7" w:rsidRPr="001050EA">
        <w:rPr>
          <w:spacing w:val="0"/>
          <w:sz w:val="18"/>
          <w:szCs w:val="18"/>
        </w:rPr>
        <w:t>.</w:t>
      </w:r>
    </w:p>
    <w:p w14:paraId="28A375D9" w14:textId="77777777" w:rsidR="008B6B36" w:rsidRPr="001050EA" w:rsidRDefault="008B6B36" w:rsidP="00830C68">
      <w:pPr>
        <w:pStyle w:val="Textoindependiente"/>
        <w:rPr>
          <w:spacing w:val="0"/>
          <w:sz w:val="18"/>
          <w:szCs w:val="18"/>
        </w:rPr>
      </w:pPr>
    </w:p>
    <w:p w14:paraId="21ECC872" w14:textId="77777777" w:rsidR="008B6B36" w:rsidRPr="001050EA" w:rsidRDefault="008B6B36" w:rsidP="00830C68">
      <w:pPr>
        <w:pStyle w:val="Textoindependiente"/>
        <w:rPr>
          <w:spacing w:val="0"/>
          <w:sz w:val="18"/>
          <w:szCs w:val="18"/>
        </w:rPr>
      </w:pPr>
      <w:r w:rsidRPr="001050EA">
        <w:rPr>
          <w:spacing w:val="0"/>
          <w:sz w:val="18"/>
          <w:szCs w:val="18"/>
        </w:rPr>
        <w:t>Para calcular la exposición al riesgo de precio de acciones de un mercado accionario en particular, se deben sumar los valores absolutos de las posiciones netas ponderadas en acciones del respectivo mercado.</w:t>
      </w:r>
    </w:p>
    <w:p w14:paraId="13D28340" w14:textId="77777777" w:rsidR="008B6B36" w:rsidRPr="001050EA" w:rsidRDefault="008B6B36" w:rsidP="00830C68">
      <w:pPr>
        <w:pStyle w:val="Textoindependiente"/>
        <w:rPr>
          <w:b/>
          <w:spacing w:val="0"/>
          <w:sz w:val="18"/>
          <w:szCs w:val="18"/>
        </w:rPr>
      </w:pPr>
    </w:p>
    <w:p w14:paraId="0E01ECD2" w14:textId="704CE157" w:rsidR="008B6B36" w:rsidRPr="001050EA" w:rsidRDefault="008B6B36" w:rsidP="00830C68">
      <w:pPr>
        <w:pStyle w:val="Textoindependiente"/>
        <w:rPr>
          <w:spacing w:val="0"/>
          <w:sz w:val="18"/>
          <w:szCs w:val="18"/>
        </w:rPr>
      </w:pPr>
      <w:r w:rsidRPr="001050EA">
        <w:rPr>
          <w:spacing w:val="0"/>
          <w:sz w:val="18"/>
          <w:szCs w:val="18"/>
        </w:rPr>
        <w:t>Para los casos en que la entidad tenga posiciones en más de un mercado accionario, el componente de riesgo general debe ser calculado separadamente para cada mercado. Para mercados de acciones distintos a la Bolsa de Valores de Colombia S.A., el factor de riesgo aplicable debe ser calculado por la entidad como el percentil 1 de las variaciones observadas, para un horizonte de tenencia de 10 días hábiles, en el índice representativo de dicho mercado. Para esta estimación la entidad debe utilizar un periodo correspondiente a los últimos 5 años de historia, y deberá ser actualizado de forma que la última observación utilizada en el cálculo se encuentre en los 3 meses anteriores a la fecha del cálculo de la exposición a los riesgos de mercado a que hace referencia el presente numeral.</w:t>
      </w:r>
    </w:p>
    <w:p w14:paraId="7AE6DB19" w14:textId="77777777" w:rsidR="008B6B36" w:rsidRPr="001050EA" w:rsidRDefault="008B6B36" w:rsidP="00830C68">
      <w:pPr>
        <w:pStyle w:val="Textoindependiente"/>
        <w:rPr>
          <w:b/>
          <w:spacing w:val="0"/>
          <w:sz w:val="18"/>
          <w:szCs w:val="18"/>
        </w:rPr>
      </w:pPr>
    </w:p>
    <w:p w14:paraId="057051BC" w14:textId="02387108" w:rsidR="008B6B36" w:rsidRPr="001050EA" w:rsidRDefault="008B6B36" w:rsidP="00830C68">
      <w:pPr>
        <w:pStyle w:val="Textoindependiente"/>
        <w:rPr>
          <w:spacing w:val="0"/>
          <w:sz w:val="18"/>
          <w:szCs w:val="18"/>
        </w:rPr>
      </w:pPr>
      <w:r w:rsidRPr="001050EA">
        <w:rPr>
          <w:spacing w:val="0"/>
          <w:sz w:val="18"/>
          <w:szCs w:val="18"/>
        </w:rPr>
        <w:t xml:space="preserve">Para efectos del presente numeral debe entenderse por mercado accionario </w:t>
      </w:r>
      <w:r w:rsidR="00A64C93" w:rsidRPr="001050EA">
        <w:rPr>
          <w:spacing w:val="0"/>
          <w:sz w:val="18"/>
          <w:szCs w:val="18"/>
        </w:rPr>
        <w:t>aquel</w:t>
      </w:r>
      <w:r w:rsidRPr="001050EA">
        <w:rPr>
          <w:spacing w:val="0"/>
          <w:sz w:val="18"/>
          <w:szCs w:val="18"/>
        </w:rPr>
        <w:t xml:space="preserve"> sistema de negociación de valores en el cual se negocien acciones, bien sea este nacional o extranjero.  </w:t>
      </w:r>
    </w:p>
    <w:p w14:paraId="40FC5251" w14:textId="77777777" w:rsidR="008B6B36" w:rsidRPr="001050EA" w:rsidRDefault="008B6B36" w:rsidP="00830C68">
      <w:pPr>
        <w:pStyle w:val="Textoindependiente"/>
        <w:rPr>
          <w:b/>
          <w:bCs/>
          <w:spacing w:val="0"/>
          <w:sz w:val="18"/>
          <w:szCs w:val="18"/>
        </w:rPr>
      </w:pPr>
    </w:p>
    <w:p w14:paraId="2AEED008" w14:textId="77777777" w:rsidR="008B6B36" w:rsidRPr="001050EA" w:rsidRDefault="008B6B36" w:rsidP="00830C68">
      <w:pPr>
        <w:pStyle w:val="Textoindependiente"/>
        <w:numPr>
          <w:ilvl w:val="3"/>
          <w:numId w:val="20"/>
        </w:numPr>
        <w:rPr>
          <w:spacing w:val="0"/>
          <w:sz w:val="18"/>
          <w:szCs w:val="18"/>
        </w:rPr>
      </w:pPr>
      <w:r w:rsidRPr="001050EA">
        <w:rPr>
          <w:spacing w:val="0"/>
          <w:sz w:val="18"/>
          <w:szCs w:val="18"/>
        </w:rPr>
        <w:t xml:space="preserve"> Determinación exposición total</w:t>
      </w:r>
    </w:p>
    <w:p w14:paraId="26AF9E3F" w14:textId="77777777" w:rsidR="008B6B36" w:rsidRPr="001050EA" w:rsidRDefault="008B6B36" w:rsidP="00830C68">
      <w:pPr>
        <w:pStyle w:val="Textoindependiente"/>
        <w:rPr>
          <w:b/>
          <w:bCs/>
          <w:spacing w:val="0"/>
          <w:sz w:val="18"/>
          <w:szCs w:val="18"/>
        </w:rPr>
      </w:pPr>
    </w:p>
    <w:p w14:paraId="3A569A79" w14:textId="678893B7" w:rsidR="003D4433" w:rsidRPr="001050EA" w:rsidRDefault="008B6B36" w:rsidP="00830C68">
      <w:pPr>
        <w:pStyle w:val="Textoindependiente"/>
        <w:rPr>
          <w:spacing w:val="0"/>
          <w:sz w:val="18"/>
          <w:szCs w:val="18"/>
        </w:rPr>
      </w:pPr>
      <w:r w:rsidRPr="001050EA">
        <w:rPr>
          <w:spacing w:val="0"/>
          <w:sz w:val="18"/>
          <w:szCs w:val="18"/>
        </w:rPr>
        <w:t xml:space="preserve">Para el cálculo de la exposición al riesgo de precio de acciones deben sumarse los valores correspondientes al riesgo para cada mercado de acciones en que participe la entidad </w:t>
      </w:r>
      <w:r w:rsidR="00A64C93" w:rsidRPr="001050EA">
        <w:rPr>
          <w:spacing w:val="0"/>
          <w:sz w:val="18"/>
          <w:szCs w:val="18"/>
        </w:rPr>
        <w:t>de acuerdo con</w:t>
      </w:r>
      <w:r w:rsidRPr="001050EA">
        <w:rPr>
          <w:spacing w:val="0"/>
          <w:sz w:val="18"/>
          <w:szCs w:val="18"/>
        </w:rPr>
        <w:t xml:space="preserve"> lo estipulado en el subnumeral 2.1.4.1</w:t>
      </w:r>
      <w:r w:rsidR="00D84047" w:rsidRPr="001050EA">
        <w:rPr>
          <w:spacing w:val="0"/>
          <w:sz w:val="18"/>
          <w:szCs w:val="18"/>
        </w:rPr>
        <w:t xml:space="preserve"> del presente Anexo</w:t>
      </w:r>
      <w:r w:rsidRPr="001050EA">
        <w:rPr>
          <w:spacing w:val="0"/>
          <w:sz w:val="18"/>
          <w:szCs w:val="18"/>
        </w:rPr>
        <w:t>. Adicionalmente deben</w:t>
      </w:r>
      <w:r w:rsidR="00922FD1" w:rsidRPr="001050EA">
        <w:rPr>
          <w:spacing w:val="0"/>
          <w:sz w:val="18"/>
          <w:szCs w:val="18"/>
        </w:rPr>
        <w:t xml:space="preserve"> </w:t>
      </w:r>
      <w:r w:rsidR="003D4433" w:rsidRPr="001050EA">
        <w:rPr>
          <w:spacing w:val="0"/>
          <w:sz w:val="18"/>
          <w:szCs w:val="18"/>
        </w:rPr>
        <w:t>añadirse, cuando correspondan, los siguientes cargos correspondientes a las posiciones en opciones:</w:t>
      </w:r>
    </w:p>
    <w:p w14:paraId="2770E7A7" w14:textId="77777777" w:rsidR="003D4433" w:rsidRPr="001050EA" w:rsidRDefault="003D4433" w:rsidP="00830C68">
      <w:pPr>
        <w:pStyle w:val="Textoindependiente"/>
        <w:rPr>
          <w:spacing w:val="0"/>
          <w:sz w:val="18"/>
          <w:szCs w:val="18"/>
        </w:rPr>
      </w:pPr>
    </w:p>
    <w:p w14:paraId="3173C763" w14:textId="3AB9681B" w:rsidR="003D4433" w:rsidRDefault="003D4433" w:rsidP="00830C68">
      <w:pPr>
        <w:pStyle w:val="Textoindependiente"/>
        <w:numPr>
          <w:ilvl w:val="0"/>
          <w:numId w:val="14"/>
        </w:numPr>
        <w:tabs>
          <w:tab w:val="clear" w:pos="720"/>
          <w:tab w:val="num" w:pos="284"/>
        </w:tabs>
        <w:ind w:left="284" w:hanging="284"/>
        <w:rPr>
          <w:spacing w:val="0"/>
          <w:sz w:val="18"/>
          <w:szCs w:val="18"/>
        </w:rPr>
      </w:pPr>
      <w:r w:rsidRPr="001050EA">
        <w:rPr>
          <w:spacing w:val="0"/>
          <w:sz w:val="18"/>
          <w:szCs w:val="18"/>
        </w:rPr>
        <w:lastRenderedPageBreak/>
        <w:t xml:space="preserve">Para las entidades elegibles para la aproximación simplificada de tratamiento de opciones descrita en </w:t>
      </w:r>
      <w:r w:rsidR="00F02BB1" w:rsidRPr="001050EA">
        <w:rPr>
          <w:spacing w:val="0"/>
          <w:sz w:val="18"/>
          <w:szCs w:val="18"/>
        </w:rPr>
        <w:t xml:space="preserve">el </w:t>
      </w:r>
      <w:r w:rsidR="003B6CDC" w:rsidRPr="001050EA">
        <w:rPr>
          <w:spacing w:val="0"/>
          <w:sz w:val="18"/>
          <w:szCs w:val="18"/>
        </w:rPr>
        <w:t xml:space="preserve">subnumeral </w:t>
      </w:r>
      <w:r w:rsidRPr="001050EA">
        <w:rPr>
          <w:spacing w:val="0"/>
          <w:sz w:val="18"/>
          <w:szCs w:val="18"/>
        </w:rPr>
        <w:t>2.1.6.1</w:t>
      </w:r>
      <w:r w:rsidR="00351BBA" w:rsidRPr="001050EA">
        <w:rPr>
          <w:spacing w:val="0"/>
          <w:sz w:val="18"/>
          <w:szCs w:val="18"/>
        </w:rPr>
        <w:t>.</w:t>
      </w:r>
      <w:r w:rsidR="00F02BB1" w:rsidRPr="001050EA">
        <w:rPr>
          <w:spacing w:val="0"/>
          <w:sz w:val="18"/>
          <w:szCs w:val="18"/>
        </w:rPr>
        <w:t xml:space="preserve"> del presente Anexo</w:t>
      </w:r>
      <w:r w:rsidRPr="001050EA">
        <w:rPr>
          <w:spacing w:val="0"/>
          <w:sz w:val="18"/>
          <w:szCs w:val="18"/>
        </w:rPr>
        <w:t>, la exposición resultante de las posiciones en opciones sobre acciones, o</w:t>
      </w:r>
    </w:p>
    <w:p w14:paraId="75DBB18A" w14:textId="77777777" w:rsidR="00FA4ACA" w:rsidRPr="001050EA" w:rsidRDefault="00FA4ACA" w:rsidP="00FA4ACA">
      <w:pPr>
        <w:pStyle w:val="Textoindependiente"/>
        <w:ind w:left="284"/>
        <w:rPr>
          <w:spacing w:val="0"/>
          <w:sz w:val="18"/>
          <w:szCs w:val="18"/>
        </w:rPr>
      </w:pPr>
    </w:p>
    <w:p w14:paraId="41B4F303" w14:textId="3652D65F" w:rsidR="003D4433" w:rsidRPr="001050EA" w:rsidRDefault="003D4433" w:rsidP="00830C68">
      <w:pPr>
        <w:pStyle w:val="Textoindependiente"/>
        <w:numPr>
          <w:ilvl w:val="0"/>
          <w:numId w:val="14"/>
        </w:numPr>
        <w:tabs>
          <w:tab w:val="clear" w:pos="720"/>
          <w:tab w:val="num" w:pos="284"/>
        </w:tabs>
        <w:ind w:left="284" w:hanging="284"/>
        <w:rPr>
          <w:spacing w:val="0"/>
          <w:sz w:val="18"/>
          <w:szCs w:val="18"/>
        </w:rPr>
      </w:pPr>
      <w:r w:rsidRPr="001050EA">
        <w:rPr>
          <w:spacing w:val="0"/>
          <w:sz w:val="18"/>
          <w:szCs w:val="18"/>
        </w:rPr>
        <w:t xml:space="preserve">Para las entidades que deban aplicar la metodología intermedia descrita en el </w:t>
      </w:r>
      <w:r w:rsidR="003B6CDC" w:rsidRPr="001050EA">
        <w:rPr>
          <w:spacing w:val="0"/>
          <w:sz w:val="18"/>
          <w:szCs w:val="18"/>
        </w:rPr>
        <w:t>sub</w:t>
      </w:r>
      <w:r w:rsidRPr="001050EA">
        <w:rPr>
          <w:spacing w:val="0"/>
          <w:sz w:val="18"/>
          <w:szCs w:val="18"/>
        </w:rPr>
        <w:t>numeral 2.1.6.2.</w:t>
      </w:r>
      <w:r w:rsidR="00F02BB1" w:rsidRPr="001050EA">
        <w:rPr>
          <w:spacing w:val="0"/>
          <w:sz w:val="18"/>
          <w:szCs w:val="18"/>
        </w:rPr>
        <w:t xml:space="preserve"> del presente Anexo</w:t>
      </w:r>
      <w:r w:rsidRPr="001050EA">
        <w:rPr>
          <w:spacing w:val="0"/>
          <w:sz w:val="18"/>
          <w:szCs w:val="18"/>
        </w:rPr>
        <w:t xml:space="preserve">, los cargos correspondientes a los riesgos </w:t>
      </w:r>
      <w:r w:rsidRPr="001050EA">
        <w:rPr>
          <w:i/>
          <w:iCs/>
          <w:spacing w:val="0"/>
          <w:sz w:val="18"/>
          <w:szCs w:val="18"/>
        </w:rPr>
        <w:t xml:space="preserve">Gamma </w:t>
      </w:r>
      <w:r w:rsidRPr="001050EA">
        <w:rPr>
          <w:spacing w:val="0"/>
          <w:sz w:val="18"/>
          <w:szCs w:val="18"/>
        </w:rPr>
        <w:t xml:space="preserve">y </w:t>
      </w:r>
      <w:r w:rsidRPr="001050EA">
        <w:rPr>
          <w:i/>
          <w:iCs/>
          <w:spacing w:val="0"/>
          <w:sz w:val="18"/>
          <w:szCs w:val="18"/>
        </w:rPr>
        <w:t xml:space="preserve">Vega </w:t>
      </w:r>
      <w:r w:rsidRPr="001050EA">
        <w:rPr>
          <w:spacing w:val="0"/>
          <w:sz w:val="18"/>
          <w:szCs w:val="18"/>
        </w:rPr>
        <w:t>de dichas opciones.</w:t>
      </w:r>
    </w:p>
    <w:p w14:paraId="55DB8FF5" w14:textId="77777777" w:rsidR="003D4433" w:rsidRPr="001050EA" w:rsidRDefault="003D4433" w:rsidP="00830C68">
      <w:pPr>
        <w:pStyle w:val="Textoindependiente"/>
        <w:jc w:val="center"/>
        <w:rPr>
          <w:b/>
          <w:bCs/>
          <w:spacing w:val="0"/>
          <w:sz w:val="18"/>
          <w:szCs w:val="18"/>
        </w:rPr>
      </w:pPr>
    </w:p>
    <w:p w14:paraId="632E89FC" w14:textId="77777777" w:rsidR="003D4433" w:rsidRPr="001050EA" w:rsidRDefault="003D4433" w:rsidP="00830C68">
      <w:pPr>
        <w:pStyle w:val="Textoindependiente"/>
        <w:jc w:val="center"/>
        <w:rPr>
          <w:b/>
          <w:bCs/>
          <w:spacing w:val="0"/>
          <w:sz w:val="18"/>
          <w:szCs w:val="18"/>
        </w:rPr>
      </w:pPr>
      <w:r w:rsidRPr="001050EA">
        <w:rPr>
          <w:b/>
          <w:bCs/>
          <w:spacing w:val="0"/>
          <w:sz w:val="18"/>
          <w:szCs w:val="18"/>
        </w:rPr>
        <w:t>Tabla 2</w:t>
      </w:r>
    </w:p>
    <w:p w14:paraId="0B707C8A" w14:textId="77777777" w:rsidR="003D4433" w:rsidRPr="001050EA" w:rsidRDefault="003D4433" w:rsidP="00830C68">
      <w:pPr>
        <w:pStyle w:val="Textoindependiente"/>
        <w:jc w:val="center"/>
        <w:rPr>
          <w:b/>
          <w:bCs/>
          <w:spacing w:val="0"/>
          <w:sz w:val="18"/>
          <w:szCs w:val="18"/>
        </w:rPr>
      </w:pPr>
      <w:r w:rsidRPr="001050EA">
        <w:rPr>
          <w:b/>
          <w:bCs/>
          <w:spacing w:val="0"/>
          <w:sz w:val="18"/>
          <w:szCs w:val="18"/>
        </w:rPr>
        <w:t>Factores de Sensibilidad para el Cálculo de Riesgos de Tasa de Cambio y de Precio de Acciones</w:t>
      </w:r>
    </w:p>
    <w:p w14:paraId="75667480" w14:textId="038420F2" w:rsidR="003D4433" w:rsidRPr="001050EA" w:rsidRDefault="003D4433" w:rsidP="00830C68">
      <w:pPr>
        <w:pStyle w:val="Textoindependiente"/>
        <w:rPr>
          <w:b/>
          <w:bCs/>
          <w:spacing w:val="0"/>
          <w:sz w:val="18"/>
          <w:szCs w:val="18"/>
        </w:rPr>
      </w:pPr>
    </w:p>
    <w:tbl>
      <w:tblPr>
        <w:tblW w:w="6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00"/>
        <w:gridCol w:w="1201"/>
      </w:tblGrid>
      <w:tr w:rsidR="003D4433" w:rsidRPr="001050EA" w14:paraId="7DD5D21D" w14:textId="77777777" w:rsidTr="00A13779">
        <w:trPr>
          <w:trHeight w:val="450"/>
          <w:jc w:val="center"/>
        </w:trPr>
        <w:tc>
          <w:tcPr>
            <w:tcW w:w="4900" w:type="dxa"/>
            <w:shd w:val="clear" w:color="auto" w:fill="F2F2F2" w:themeFill="background1" w:themeFillShade="F2"/>
            <w:vAlign w:val="center"/>
          </w:tcPr>
          <w:p w14:paraId="76903F71" w14:textId="77777777" w:rsidR="003D4433" w:rsidRPr="001050EA" w:rsidRDefault="003D4433" w:rsidP="00830C68">
            <w:pPr>
              <w:jc w:val="center"/>
              <w:rPr>
                <w:b/>
                <w:bCs/>
                <w:spacing w:val="0"/>
                <w:sz w:val="18"/>
                <w:szCs w:val="18"/>
              </w:rPr>
            </w:pPr>
            <w:r w:rsidRPr="001050EA">
              <w:rPr>
                <w:b/>
                <w:bCs/>
                <w:spacing w:val="0"/>
                <w:sz w:val="18"/>
                <w:szCs w:val="18"/>
              </w:rPr>
              <w:t>Moneda</w:t>
            </w:r>
          </w:p>
        </w:tc>
        <w:tc>
          <w:tcPr>
            <w:tcW w:w="1200" w:type="dxa"/>
            <w:shd w:val="clear" w:color="auto" w:fill="F2F2F2" w:themeFill="background1" w:themeFillShade="F2"/>
            <w:vAlign w:val="center"/>
          </w:tcPr>
          <w:p w14:paraId="16DED674" w14:textId="77777777" w:rsidR="003D4433" w:rsidRPr="001050EA" w:rsidRDefault="003D4433" w:rsidP="00830C68">
            <w:pPr>
              <w:jc w:val="center"/>
              <w:rPr>
                <w:b/>
                <w:bCs/>
                <w:spacing w:val="0"/>
                <w:sz w:val="18"/>
                <w:szCs w:val="18"/>
              </w:rPr>
            </w:pPr>
            <w:r w:rsidRPr="001050EA">
              <w:rPr>
                <w:b/>
                <w:bCs/>
                <w:spacing w:val="0"/>
                <w:sz w:val="18"/>
                <w:szCs w:val="18"/>
              </w:rPr>
              <w:t>Factor de Sensibilidad</w:t>
            </w:r>
          </w:p>
        </w:tc>
      </w:tr>
      <w:tr w:rsidR="00DE2D5A" w:rsidRPr="001050EA" w14:paraId="69F7495F" w14:textId="77777777" w:rsidTr="008D0113">
        <w:trPr>
          <w:trHeight w:val="225"/>
          <w:jc w:val="center"/>
        </w:trPr>
        <w:tc>
          <w:tcPr>
            <w:tcW w:w="4900" w:type="dxa"/>
            <w:shd w:val="clear" w:color="auto" w:fill="auto"/>
            <w:noWrap/>
            <w:vAlign w:val="bottom"/>
          </w:tcPr>
          <w:p w14:paraId="0EEAA8A9" w14:textId="0D823834" w:rsidR="00DE2D5A" w:rsidRPr="001050EA" w:rsidRDefault="00DE2D5A" w:rsidP="00830C68">
            <w:pPr>
              <w:rPr>
                <w:spacing w:val="0"/>
                <w:sz w:val="18"/>
                <w:szCs w:val="18"/>
              </w:rPr>
            </w:pPr>
            <w:r w:rsidRPr="001050EA">
              <w:rPr>
                <w:spacing w:val="0"/>
                <w:sz w:val="18"/>
                <w:szCs w:val="22"/>
              </w:rPr>
              <w:t>Dólar de Estados Unidos de Norteamérica</w:t>
            </w:r>
          </w:p>
        </w:tc>
        <w:tc>
          <w:tcPr>
            <w:tcW w:w="1200" w:type="dxa"/>
            <w:shd w:val="clear" w:color="auto" w:fill="auto"/>
            <w:noWrap/>
            <w:vAlign w:val="bottom"/>
          </w:tcPr>
          <w:p w14:paraId="5B551444" w14:textId="017DB558" w:rsidR="00DE2D5A" w:rsidRPr="001050EA" w:rsidRDefault="00DE2D5A" w:rsidP="00830C68">
            <w:pPr>
              <w:jc w:val="center"/>
              <w:rPr>
                <w:spacing w:val="0"/>
                <w:sz w:val="18"/>
                <w:szCs w:val="18"/>
              </w:rPr>
            </w:pPr>
            <w:r w:rsidRPr="001050EA">
              <w:rPr>
                <w:spacing w:val="0"/>
                <w:sz w:val="18"/>
                <w:szCs w:val="22"/>
              </w:rPr>
              <w:t>12.49%</w:t>
            </w:r>
          </w:p>
        </w:tc>
      </w:tr>
      <w:tr w:rsidR="00DE2D5A" w:rsidRPr="001050EA" w14:paraId="7A5DBE52" w14:textId="77777777" w:rsidTr="008D0113">
        <w:trPr>
          <w:trHeight w:val="225"/>
          <w:jc w:val="center"/>
        </w:trPr>
        <w:tc>
          <w:tcPr>
            <w:tcW w:w="4900" w:type="dxa"/>
            <w:shd w:val="clear" w:color="auto" w:fill="auto"/>
            <w:noWrap/>
            <w:vAlign w:val="bottom"/>
          </w:tcPr>
          <w:p w14:paraId="4EC6A517" w14:textId="4FD9431B" w:rsidR="00DE2D5A" w:rsidRPr="001050EA" w:rsidRDefault="00DE2D5A" w:rsidP="00830C68">
            <w:pPr>
              <w:rPr>
                <w:spacing w:val="0"/>
                <w:sz w:val="18"/>
                <w:szCs w:val="18"/>
              </w:rPr>
            </w:pPr>
            <w:r w:rsidRPr="001050EA">
              <w:rPr>
                <w:spacing w:val="0"/>
                <w:sz w:val="18"/>
                <w:szCs w:val="22"/>
              </w:rPr>
              <w:t>Euro</w:t>
            </w:r>
          </w:p>
        </w:tc>
        <w:tc>
          <w:tcPr>
            <w:tcW w:w="1200" w:type="dxa"/>
            <w:shd w:val="clear" w:color="auto" w:fill="auto"/>
            <w:noWrap/>
            <w:vAlign w:val="bottom"/>
          </w:tcPr>
          <w:p w14:paraId="35B84C8E" w14:textId="0705E179" w:rsidR="00DE2D5A" w:rsidRPr="001050EA" w:rsidRDefault="00DE2D5A" w:rsidP="00830C68">
            <w:pPr>
              <w:jc w:val="center"/>
              <w:rPr>
                <w:spacing w:val="0"/>
                <w:sz w:val="18"/>
                <w:szCs w:val="18"/>
              </w:rPr>
            </w:pPr>
            <w:r w:rsidRPr="001050EA">
              <w:rPr>
                <w:spacing w:val="0"/>
                <w:sz w:val="18"/>
                <w:szCs w:val="22"/>
              </w:rPr>
              <w:t>11%</w:t>
            </w:r>
          </w:p>
        </w:tc>
      </w:tr>
      <w:tr w:rsidR="00DE2D5A" w:rsidRPr="001050EA" w14:paraId="5A6F98FA" w14:textId="77777777" w:rsidTr="008D0113">
        <w:trPr>
          <w:trHeight w:val="225"/>
          <w:jc w:val="center"/>
        </w:trPr>
        <w:tc>
          <w:tcPr>
            <w:tcW w:w="4900" w:type="dxa"/>
            <w:shd w:val="clear" w:color="auto" w:fill="auto"/>
            <w:noWrap/>
            <w:vAlign w:val="bottom"/>
          </w:tcPr>
          <w:p w14:paraId="795B4EB7" w14:textId="4205A55E" w:rsidR="00DE2D5A" w:rsidRPr="001050EA" w:rsidRDefault="00DE2D5A" w:rsidP="00830C68">
            <w:pPr>
              <w:rPr>
                <w:spacing w:val="0"/>
                <w:sz w:val="18"/>
                <w:szCs w:val="18"/>
              </w:rPr>
            </w:pPr>
            <w:r w:rsidRPr="001050EA">
              <w:rPr>
                <w:spacing w:val="0"/>
                <w:sz w:val="18"/>
                <w:szCs w:val="22"/>
              </w:rPr>
              <w:t>Otras monedas</w:t>
            </w:r>
          </w:p>
        </w:tc>
        <w:tc>
          <w:tcPr>
            <w:tcW w:w="1200" w:type="dxa"/>
            <w:shd w:val="clear" w:color="auto" w:fill="auto"/>
            <w:noWrap/>
            <w:vAlign w:val="bottom"/>
          </w:tcPr>
          <w:p w14:paraId="3EE7B74B" w14:textId="1058F437" w:rsidR="00DE2D5A" w:rsidRPr="001050EA" w:rsidRDefault="00DE2D5A" w:rsidP="00830C68">
            <w:pPr>
              <w:jc w:val="center"/>
              <w:rPr>
                <w:spacing w:val="0"/>
                <w:sz w:val="18"/>
                <w:szCs w:val="18"/>
              </w:rPr>
            </w:pPr>
            <w:r w:rsidRPr="001050EA">
              <w:rPr>
                <w:spacing w:val="0"/>
                <w:sz w:val="18"/>
                <w:szCs w:val="22"/>
              </w:rPr>
              <w:t>13.02%</w:t>
            </w:r>
          </w:p>
        </w:tc>
      </w:tr>
      <w:tr w:rsidR="00DE2D5A" w:rsidRPr="001050EA" w14:paraId="640B18AF" w14:textId="77777777" w:rsidTr="008D0113">
        <w:trPr>
          <w:trHeight w:val="225"/>
          <w:jc w:val="center"/>
        </w:trPr>
        <w:tc>
          <w:tcPr>
            <w:tcW w:w="4900" w:type="dxa"/>
            <w:shd w:val="clear" w:color="auto" w:fill="auto"/>
            <w:noWrap/>
            <w:vAlign w:val="bottom"/>
          </w:tcPr>
          <w:p w14:paraId="064C9BC5" w14:textId="1AB803F9" w:rsidR="00DE2D5A" w:rsidRPr="001050EA" w:rsidRDefault="00DE2D5A" w:rsidP="00830C68">
            <w:pPr>
              <w:rPr>
                <w:spacing w:val="0"/>
                <w:sz w:val="18"/>
                <w:szCs w:val="18"/>
              </w:rPr>
            </w:pPr>
            <w:r w:rsidRPr="001050EA">
              <w:rPr>
                <w:spacing w:val="0"/>
                <w:sz w:val="18"/>
                <w:szCs w:val="22"/>
              </w:rPr>
              <w:t>Riesgo general precio de acciones</w:t>
            </w:r>
          </w:p>
        </w:tc>
        <w:tc>
          <w:tcPr>
            <w:tcW w:w="1200" w:type="dxa"/>
            <w:shd w:val="clear" w:color="auto" w:fill="auto"/>
            <w:noWrap/>
            <w:vAlign w:val="bottom"/>
          </w:tcPr>
          <w:p w14:paraId="44008C17" w14:textId="7C2E4118" w:rsidR="00DE2D5A" w:rsidRPr="001050EA" w:rsidRDefault="00DE2D5A" w:rsidP="00830C68">
            <w:pPr>
              <w:jc w:val="center"/>
              <w:rPr>
                <w:spacing w:val="0"/>
                <w:sz w:val="18"/>
                <w:szCs w:val="18"/>
              </w:rPr>
            </w:pPr>
            <w:r w:rsidRPr="001050EA">
              <w:rPr>
                <w:spacing w:val="0"/>
                <w:sz w:val="18"/>
                <w:szCs w:val="22"/>
              </w:rPr>
              <w:t>14.7%</w:t>
            </w:r>
          </w:p>
        </w:tc>
      </w:tr>
    </w:tbl>
    <w:p w14:paraId="6BA266C3" w14:textId="77777777" w:rsidR="003D4433" w:rsidRPr="001050EA" w:rsidRDefault="003D4433" w:rsidP="00830C68">
      <w:pPr>
        <w:pStyle w:val="Textoindependiente"/>
        <w:rPr>
          <w:b/>
          <w:bCs/>
          <w:spacing w:val="0"/>
          <w:sz w:val="18"/>
          <w:szCs w:val="18"/>
        </w:rPr>
      </w:pPr>
    </w:p>
    <w:p w14:paraId="504D3A9A" w14:textId="7006E4DB" w:rsidR="003D4433" w:rsidRPr="001050EA" w:rsidRDefault="003D4433" w:rsidP="00830C68">
      <w:pPr>
        <w:pStyle w:val="Textoindependiente"/>
        <w:rPr>
          <w:spacing w:val="0"/>
          <w:sz w:val="18"/>
          <w:szCs w:val="18"/>
        </w:rPr>
      </w:pPr>
      <w:r w:rsidRPr="001050EA">
        <w:rPr>
          <w:spacing w:val="0"/>
          <w:sz w:val="18"/>
          <w:szCs w:val="18"/>
        </w:rPr>
        <w:t>Los factores consignados en la Tabla 2 serán revisados por la SFC y podrán ser modificados si ésta considera que los niveles establecidos no reflejan apropiadamente la sensibilidad de las posiciones expuestas a los riesgos allí contemplados.</w:t>
      </w:r>
    </w:p>
    <w:p w14:paraId="2683A988" w14:textId="77777777" w:rsidR="00553F4F" w:rsidRPr="001050EA" w:rsidRDefault="00553F4F" w:rsidP="00830C68">
      <w:pPr>
        <w:pStyle w:val="Textoindependiente"/>
        <w:rPr>
          <w:bCs/>
          <w:spacing w:val="0"/>
          <w:sz w:val="18"/>
          <w:szCs w:val="18"/>
        </w:rPr>
      </w:pPr>
    </w:p>
    <w:p w14:paraId="240B9F0C" w14:textId="4342D0F3" w:rsidR="003D4433" w:rsidRPr="001050EA" w:rsidRDefault="00A64C93" w:rsidP="00EA1EBA">
      <w:pPr>
        <w:pStyle w:val="Textoindependiente"/>
        <w:numPr>
          <w:ilvl w:val="2"/>
          <w:numId w:val="23"/>
        </w:numPr>
        <w:rPr>
          <w:bCs/>
          <w:spacing w:val="0"/>
          <w:sz w:val="18"/>
          <w:szCs w:val="18"/>
        </w:rPr>
      </w:pPr>
      <w:r w:rsidRPr="001050EA">
        <w:rPr>
          <w:bCs/>
          <w:spacing w:val="0"/>
          <w:sz w:val="18"/>
          <w:szCs w:val="18"/>
        </w:rPr>
        <w:t>Riesgo</w:t>
      </w:r>
      <w:r w:rsidR="003D4433" w:rsidRPr="001050EA">
        <w:rPr>
          <w:bCs/>
          <w:spacing w:val="0"/>
          <w:sz w:val="18"/>
          <w:szCs w:val="18"/>
        </w:rPr>
        <w:t xml:space="preserve"> en inversiones realizadas en </w:t>
      </w:r>
      <w:r w:rsidR="007957FA" w:rsidRPr="001050EA">
        <w:rPr>
          <w:bCs/>
          <w:spacing w:val="0"/>
          <w:sz w:val="18"/>
          <w:szCs w:val="18"/>
        </w:rPr>
        <w:t>Fondos de Inversión Colectiva</w:t>
      </w:r>
      <w:r w:rsidR="00BF5CDB" w:rsidRPr="001050EA">
        <w:rPr>
          <w:bCs/>
          <w:spacing w:val="0"/>
          <w:sz w:val="18"/>
          <w:szCs w:val="18"/>
        </w:rPr>
        <w:t xml:space="preserve"> (FICs)</w:t>
      </w:r>
    </w:p>
    <w:p w14:paraId="6CE164A0" w14:textId="77777777" w:rsidR="003D4433" w:rsidRPr="001050EA" w:rsidRDefault="003D4433" w:rsidP="00830C68">
      <w:pPr>
        <w:pStyle w:val="Textoindependiente"/>
        <w:rPr>
          <w:b/>
          <w:bCs/>
          <w:spacing w:val="0"/>
          <w:sz w:val="18"/>
          <w:szCs w:val="18"/>
        </w:rPr>
      </w:pPr>
    </w:p>
    <w:p w14:paraId="1DDE4317" w14:textId="46B045AF" w:rsidR="003D4433" w:rsidRPr="001050EA" w:rsidRDefault="003D4433" w:rsidP="00830C68">
      <w:pPr>
        <w:pStyle w:val="Textoindependiente"/>
        <w:rPr>
          <w:spacing w:val="0"/>
          <w:sz w:val="18"/>
          <w:szCs w:val="18"/>
        </w:rPr>
      </w:pPr>
      <w:r w:rsidRPr="001050EA">
        <w:rPr>
          <w:spacing w:val="0"/>
          <w:sz w:val="18"/>
          <w:szCs w:val="18"/>
        </w:rPr>
        <w:t>Para las inversiones en</w:t>
      </w:r>
      <w:r w:rsidR="00CE6063" w:rsidRPr="001050EA">
        <w:rPr>
          <w:spacing w:val="0"/>
          <w:sz w:val="18"/>
          <w:szCs w:val="18"/>
        </w:rPr>
        <w:t xml:space="preserve"> </w:t>
      </w:r>
      <w:r w:rsidR="00BF5CDB" w:rsidRPr="001050EA">
        <w:rPr>
          <w:spacing w:val="0"/>
          <w:sz w:val="18"/>
          <w:szCs w:val="18"/>
        </w:rPr>
        <w:t>FICs</w:t>
      </w:r>
      <w:r w:rsidRPr="001050EA">
        <w:rPr>
          <w:spacing w:val="0"/>
          <w:sz w:val="18"/>
          <w:szCs w:val="18"/>
        </w:rPr>
        <w:t>, la exposición a riesgos de mercado de las entidades es calculada como el producto entre el factor de riesgo aplicable a dicho fondo y la posición invertida en él. El factor de riesgo aplicable corresponde a:</w:t>
      </w:r>
    </w:p>
    <w:p w14:paraId="72C091A9" w14:textId="77777777" w:rsidR="003D4433" w:rsidRPr="001050EA" w:rsidRDefault="003D4433" w:rsidP="00830C68">
      <w:pPr>
        <w:pStyle w:val="Textoindependiente"/>
        <w:rPr>
          <w:spacing w:val="0"/>
          <w:sz w:val="18"/>
          <w:szCs w:val="18"/>
        </w:rPr>
      </w:pPr>
    </w:p>
    <w:p w14:paraId="27EED366" w14:textId="77777777" w:rsidR="00E05EBB" w:rsidRPr="001050EA" w:rsidRDefault="003D4433" w:rsidP="00830C68">
      <w:pPr>
        <w:pStyle w:val="Textoindependiente"/>
        <w:numPr>
          <w:ilvl w:val="0"/>
          <w:numId w:val="7"/>
        </w:numPr>
        <w:tabs>
          <w:tab w:val="clear" w:pos="720"/>
        </w:tabs>
        <w:ind w:left="284" w:hanging="284"/>
        <w:rPr>
          <w:spacing w:val="0"/>
          <w:sz w:val="18"/>
          <w:szCs w:val="18"/>
        </w:rPr>
      </w:pPr>
      <w:r w:rsidRPr="001050EA">
        <w:rPr>
          <w:spacing w:val="0"/>
          <w:sz w:val="18"/>
          <w:szCs w:val="18"/>
        </w:rPr>
        <w:t xml:space="preserve">Cuando la sociedad administradora </w:t>
      </w:r>
      <w:r w:rsidR="007957FA" w:rsidRPr="001050EA">
        <w:rPr>
          <w:spacing w:val="0"/>
          <w:sz w:val="18"/>
          <w:szCs w:val="18"/>
        </w:rPr>
        <w:t xml:space="preserve">del </w:t>
      </w:r>
      <w:r w:rsidR="00BF5CDB" w:rsidRPr="001050EA">
        <w:rPr>
          <w:spacing w:val="0"/>
          <w:sz w:val="18"/>
          <w:szCs w:val="18"/>
        </w:rPr>
        <w:t>FICs</w:t>
      </w:r>
      <w:r w:rsidRPr="001050EA">
        <w:rPr>
          <w:spacing w:val="0"/>
          <w:sz w:val="18"/>
          <w:szCs w:val="18"/>
        </w:rPr>
        <w:t xml:space="preserve"> reporte a la entidad adherente o suscriptora la composición del portafolio de inversión de </w:t>
      </w:r>
      <w:r w:rsidR="00A64C93" w:rsidRPr="001050EA">
        <w:rPr>
          <w:spacing w:val="0"/>
          <w:sz w:val="18"/>
          <w:szCs w:val="18"/>
        </w:rPr>
        <w:t>esta</w:t>
      </w:r>
      <w:r w:rsidRPr="001050EA">
        <w:rPr>
          <w:spacing w:val="0"/>
          <w:sz w:val="18"/>
          <w:szCs w:val="18"/>
        </w:rPr>
        <w:t xml:space="preserve">, la exposición a riesgos de mercado deberá ser calculada por la entidad adherente </w:t>
      </w:r>
      <w:r w:rsidR="00A64C93" w:rsidRPr="001050EA">
        <w:rPr>
          <w:spacing w:val="0"/>
          <w:sz w:val="18"/>
          <w:szCs w:val="18"/>
        </w:rPr>
        <w:t>de acuerdo con</w:t>
      </w:r>
      <w:r w:rsidRPr="001050EA">
        <w:rPr>
          <w:spacing w:val="0"/>
          <w:sz w:val="18"/>
          <w:szCs w:val="18"/>
        </w:rPr>
        <w:t xml:space="preserve"> las disposiciones impartidas en el numeral 2.1 del presente</w:t>
      </w:r>
      <w:r w:rsidR="00CE6063" w:rsidRPr="001050EA">
        <w:rPr>
          <w:spacing w:val="0"/>
          <w:sz w:val="18"/>
          <w:szCs w:val="18"/>
        </w:rPr>
        <w:t xml:space="preserve"> </w:t>
      </w:r>
      <w:r w:rsidR="00BF5CDB" w:rsidRPr="001050EA">
        <w:rPr>
          <w:spacing w:val="0"/>
          <w:sz w:val="18"/>
          <w:szCs w:val="18"/>
        </w:rPr>
        <w:t>A</w:t>
      </w:r>
      <w:r w:rsidR="00CE6063" w:rsidRPr="001050EA">
        <w:rPr>
          <w:spacing w:val="0"/>
          <w:sz w:val="18"/>
          <w:szCs w:val="18"/>
        </w:rPr>
        <w:t>nexo</w:t>
      </w:r>
      <w:r w:rsidRPr="001050EA">
        <w:rPr>
          <w:spacing w:val="0"/>
          <w:sz w:val="18"/>
          <w:szCs w:val="18"/>
        </w:rPr>
        <w:t xml:space="preserve">. </w:t>
      </w:r>
    </w:p>
    <w:p w14:paraId="383A44D5" w14:textId="77777777" w:rsidR="00E05EBB" w:rsidRPr="001050EA" w:rsidRDefault="00E05EBB" w:rsidP="00E05EBB">
      <w:pPr>
        <w:pStyle w:val="Textoindependiente"/>
        <w:ind w:left="284"/>
        <w:rPr>
          <w:spacing w:val="0"/>
          <w:sz w:val="18"/>
          <w:szCs w:val="18"/>
        </w:rPr>
      </w:pPr>
    </w:p>
    <w:p w14:paraId="69E42C21" w14:textId="2E07196B" w:rsidR="003D4433" w:rsidRPr="001050EA" w:rsidRDefault="003D4433" w:rsidP="00E05EBB">
      <w:pPr>
        <w:pStyle w:val="Textoindependiente"/>
        <w:ind w:left="284"/>
        <w:rPr>
          <w:spacing w:val="0"/>
          <w:sz w:val="18"/>
          <w:szCs w:val="18"/>
        </w:rPr>
      </w:pPr>
      <w:r w:rsidRPr="001050EA">
        <w:rPr>
          <w:spacing w:val="0"/>
          <w:sz w:val="18"/>
          <w:szCs w:val="18"/>
        </w:rPr>
        <w:t xml:space="preserve">El factor de riesgo </w:t>
      </w:r>
      <w:r w:rsidR="007957FA" w:rsidRPr="001050EA">
        <w:rPr>
          <w:spacing w:val="0"/>
          <w:sz w:val="18"/>
          <w:szCs w:val="18"/>
        </w:rPr>
        <w:t xml:space="preserve">del </w:t>
      </w:r>
      <w:r w:rsidR="00BF5CDB" w:rsidRPr="001050EA">
        <w:rPr>
          <w:spacing w:val="0"/>
          <w:sz w:val="18"/>
          <w:szCs w:val="18"/>
        </w:rPr>
        <w:t>FICs</w:t>
      </w:r>
      <w:r w:rsidRPr="001050EA">
        <w:rPr>
          <w:spacing w:val="0"/>
          <w:sz w:val="18"/>
          <w:szCs w:val="18"/>
        </w:rPr>
        <w:t xml:space="preserve"> corresponde a la razón entre esta exposición y el valor del portafolio en la correspondiente fecha de cálculo. Sin perjuicio de lo anterior, este factor de riesgo puede ser utilizado para el cálculo de la exposición a riesgos de mercado de la entidad adherente o </w:t>
      </w:r>
      <w:r w:rsidR="00A64C93" w:rsidRPr="001050EA">
        <w:rPr>
          <w:spacing w:val="0"/>
          <w:sz w:val="18"/>
          <w:szCs w:val="18"/>
        </w:rPr>
        <w:t>suscriptora por</w:t>
      </w:r>
      <w:r w:rsidRPr="001050EA">
        <w:rPr>
          <w:spacing w:val="0"/>
          <w:sz w:val="18"/>
          <w:szCs w:val="18"/>
        </w:rPr>
        <w:t xml:space="preserve"> un periodo de hasta treinta días, contados a partir de la última fecha de cálculo</w:t>
      </w:r>
      <w:r w:rsidR="00E05EBB" w:rsidRPr="001050EA">
        <w:rPr>
          <w:spacing w:val="0"/>
          <w:sz w:val="18"/>
          <w:szCs w:val="18"/>
        </w:rPr>
        <w:t>.</w:t>
      </w:r>
    </w:p>
    <w:p w14:paraId="717DCC2C" w14:textId="77777777" w:rsidR="003D4433" w:rsidRPr="001050EA" w:rsidRDefault="003D4433" w:rsidP="00830C68">
      <w:pPr>
        <w:pStyle w:val="Textoindependiente"/>
        <w:ind w:left="284" w:hanging="284"/>
        <w:rPr>
          <w:spacing w:val="0"/>
          <w:sz w:val="18"/>
          <w:szCs w:val="18"/>
        </w:rPr>
      </w:pPr>
    </w:p>
    <w:p w14:paraId="020E9A31" w14:textId="1BB92E53" w:rsidR="003D4433" w:rsidRPr="001050EA" w:rsidRDefault="003D4433" w:rsidP="00830C68">
      <w:pPr>
        <w:pStyle w:val="Textoindependiente"/>
        <w:numPr>
          <w:ilvl w:val="0"/>
          <w:numId w:val="7"/>
        </w:numPr>
        <w:tabs>
          <w:tab w:val="clear" w:pos="720"/>
        </w:tabs>
        <w:ind w:left="284" w:hanging="284"/>
        <w:rPr>
          <w:spacing w:val="0"/>
          <w:sz w:val="18"/>
          <w:szCs w:val="18"/>
        </w:rPr>
      </w:pPr>
      <w:r w:rsidRPr="001050EA">
        <w:rPr>
          <w:spacing w:val="0"/>
          <w:sz w:val="18"/>
          <w:szCs w:val="18"/>
        </w:rPr>
        <w:t xml:space="preserve">Cuando la sociedad administradora </w:t>
      </w:r>
      <w:r w:rsidR="007957FA" w:rsidRPr="001050EA">
        <w:rPr>
          <w:spacing w:val="0"/>
          <w:sz w:val="18"/>
          <w:szCs w:val="18"/>
        </w:rPr>
        <w:t xml:space="preserve">del </w:t>
      </w:r>
      <w:r w:rsidR="00BF5CDB" w:rsidRPr="001050EA">
        <w:rPr>
          <w:spacing w:val="0"/>
          <w:sz w:val="18"/>
          <w:szCs w:val="18"/>
        </w:rPr>
        <w:t>FICs</w:t>
      </w:r>
      <w:r w:rsidRPr="001050EA">
        <w:rPr>
          <w:spacing w:val="0"/>
          <w:sz w:val="18"/>
          <w:szCs w:val="18"/>
        </w:rPr>
        <w:t xml:space="preserve"> reporte a la entidad adherente o suscriptora la exposición a riesgos de mercado d</w:t>
      </w:r>
      <w:r w:rsidR="007957FA" w:rsidRPr="001050EA">
        <w:rPr>
          <w:spacing w:val="0"/>
          <w:sz w:val="18"/>
          <w:szCs w:val="18"/>
        </w:rPr>
        <w:t xml:space="preserve">el fondo de inversión </w:t>
      </w:r>
      <w:r w:rsidRPr="001050EA">
        <w:rPr>
          <w:spacing w:val="0"/>
          <w:sz w:val="18"/>
          <w:szCs w:val="18"/>
        </w:rPr>
        <w:t xml:space="preserve">colectiva, calculada </w:t>
      </w:r>
      <w:r w:rsidR="00A64C93" w:rsidRPr="001050EA">
        <w:rPr>
          <w:spacing w:val="0"/>
          <w:sz w:val="18"/>
          <w:szCs w:val="18"/>
        </w:rPr>
        <w:t>de acuerdo con</w:t>
      </w:r>
      <w:r w:rsidRPr="001050EA">
        <w:rPr>
          <w:spacing w:val="0"/>
          <w:sz w:val="18"/>
          <w:szCs w:val="18"/>
        </w:rPr>
        <w:t xml:space="preserve"> las disposiciones impartidas en el numeral 2.1 del presente</w:t>
      </w:r>
      <w:r w:rsidR="00CE6063" w:rsidRPr="001050EA">
        <w:rPr>
          <w:spacing w:val="0"/>
          <w:sz w:val="18"/>
          <w:szCs w:val="18"/>
        </w:rPr>
        <w:t xml:space="preserve"> </w:t>
      </w:r>
      <w:r w:rsidR="00BF5CDB" w:rsidRPr="001050EA">
        <w:rPr>
          <w:spacing w:val="0"/>
          <w:sz w:val="18"/>
          <w:szCs w:val="18"/>
        </w:rPr>
        <w:t>A</w:t>
      </w:r>
      <w:r w:rsidR="00CE6063" w:rsidRPr="001050EA">
        <w:rPr>
          <w:spacing w:val="0"/>
          <w:sz w:val="18"/>
          <w:szCs w:val="18"/>
        </w:rPr>
        <w:t>nexo</w:t>
      </w:r>
      <w:r w:rsidRPr="001050EA">
        <w:rPr>
          <w:spacing w:val="0"/>
          <w:sz w:val="18"/>
          <w:szCs w:val="18"/>
        </w:rPr>
        <w:t xml:space="preserve">, el factor de riesgo de dicha cartera colectiva corresponderá a la razón entre esta exposición y el valor del portafolio a la respectiva fecha de cálculo. Sin perjuicio de lo anterior, este factor de riesgo puede ser utilizado para el cálculo de la exposición a riesgos de mercado de la entidad adherente o suscriptora por un periodo de hasta </w:t>
      </w:r>
      <w:r w:rsidR="007957FA" w:rsidRPr="001050EA">
        <w:rPr>
          <w:spacing w:val="0"/>
          <w:sz w:val="18"/>
          <w:szCs w:val="18"/>
        </w:rPr>
        <w:t>30</w:t>
      </w:r>
      <w:r w:rsidRPr="001050EA">
        <w:rPr>
          <w:spacing w:val="0"/>
          <w:sz w:val="18"/>
          <w:szCs w:val="18"/>
        </w:rPr>
        <w:t xml:space="preserve"> días, contados a partir de la última fecha de cálculo; y </w:t>
      </w:r>
    </w:p>
    <w:p w14:paraId="053DF3FD" w14:textId="77777777" w:rsidR="003D4433" w:rsidRPr="001050EA" w:rsidRDefault="003D4433" w:rsidP="00830C68">
      <w:pPr>
        <w:pStyle w:val="Textoindependiente"/>
        <w:ind w:left="284" w:hanging="284"/>
        <w:rPr>
          <w:spacing w:val="0"/>
          <w:sz w:val="18"/>
          <w:szCs w:val="18"/>
        </w:rPr>
      </w:pPr>
    </w:p>
    <w:p w14:paraId="34C5EE81" w14:textId="77777777" w:rsidR="003D4433" w:rsidRPr="001050EA" w:rsidRDefault="003D4433" w:rsidP="00830C68">
      <w:pPr>
        <w:pStyle w:val="Textoindependiente"/>
        <w:numPr>
          <w:ilvl w:val="0"/>
          <w:numId w:val="7"/>
        </w:numPr>
        <w:tabs>
          <w:tab w:val="clear" w:pos="720"/>
        </w:tabs>
        <w:ind w:left="284" w:hanging="284"/>
        <w:rPr>
          <w:spacing w:val="0"/>
          <w:sz w:val="18"/>
          <w:szCs w:val="18"/>
        </w:rPr>
      </w:pPr>
      <w:r w:rsidRPr="001050EA">
        <w:rPr>
          <w:spacing w:val="0"/>
          <w:sz w:val="18"/>
          <w:szCs w:val="18"/>
        </w:rPr>
        <w:t>En los demás casos, el factor d</w:t>
      </w:r>
      <w:r w:rsidR="007957FA" w:rsidRPr="001050EA">
        <w:rPr>
          <w:spacing w:val="0"/>
          <w:sz w:val="18"/>
          <w:szCs w:val="18"/>
        </w:rPr>
        <w:t xml:space="preserve">e riesgo aplicable es igual a </w:t>
      </w:r>
      <w:r w:rsidRPr="001050EA">
        <w:rPr>
          <w:spacing w:val="0"/>
          <w:sz w:val="18"/>
          <w:szCs w:val="18"/>
        </w:rPr>
        <w:t>14.7</w:t>
      </w:r>
      <w:r w:rsidRPr="001050EA">
        <w:rPr>
          <w:b/>
          <w:spacing w:val="0"/>
          <w:sz w:val="18"/>
          <w:szCs w:val="18"/>
        </w:rPr>
        <w:t>%</w:t>
      </w:r>
      <w:r w:rsidRPr="001050EA">
        <w:rPr>
          <w:spacing w:val="0"/>
          <w:sz w:val="18"/>
          <w:szCs w:val="18"/>
        </w:rPr>
        <w:t>, equivalente al cargo asociado a las posiciones más riesgosas contempladas en el modelo estándar (acciones).</w:t>
      </w:r>
    </w:p>
    <w:p w14:paraId="285BA12C" w14:textId="77777777" w:rsidR="007957FA" w:rsidRPr="001050EA" w:rsidRDefault="007957FA" w:rsidP="00830C68">
      <w:pPr>
        <w:pStyle w:val="Textoindependiente"/>
        <w:ind w:firstLine="11"/>
        <w:rPr>
          <w:spacing w:val="0"/>
          <w:sz w:val="18"/>
          <w:szCs w:val="18"/>
        </w:rPr>
      </w:pPr>
    </w:p>
    <w:p w14:paraId="5E42E92A" w14:textId="4A38BD4E" w:rsidR="00292689" w:rsidRPr="001050EA" w:rsidRDefault="00292689" w:rsidP="00EA1EBA">
      <w:pPr>
        <w:pStyle w:val="Textoindependiente"/>
        <w:numPr>
          <w:ilvl w:val="2"/>
          <w:numId w:val="23"/>
        </w:numPr>
        <w:rPr>
          <w:bCs/>
          <w:spacing w:val="0"/>
          <w:sz w:val="18"/>
          <w:szCs w:val="18"/>
        </w:rPr>
      </w:pPr>
      <w:r w:rsidRPr="001050EA">
        <w:rPr>
          <w:bCs/>
          <w:spacing w:val="0"/>
          <w:sz w:val="18"/>
          <w:szCs w:val="18"/>
        </w:rPr>
        <w:t>Tratamiento de las posiciones en opciones</w:t>
      </w:r>
    </w:p>
    <w:p w14:paraId="47F7E017" w14:textId="77777777" w:rsidR="00292689" w:rsidRPr="001050EA" w:rsidRDefault="00292689" w:rsidP="00830C68">
      <w:pPr>
        <w:pStyle w:val="Textoindependiente"/>
        <w:rPr>
          <w:b/>
          <w:bCs/>
          <w:spacing w:val="0"/>
          <w:sz w:val="18"/>
          <w:szCs w:val="18"/>
        </w:rPr>
      </w:pPr>
    </w:p>
    <w:p w14:paraId="0B5C9CD6" w14:textId="7DC33C3D" w:rsidR="00292689" w:rsidRPr="001050EA" w:rsidRDefault="00BF5CDB" w:rsidP="00830C68">
      <w:pPr>
        <w:pStyle w:val="Textoindependiente"/>
        <w:rPr>
          <w:spacing w:val="0"/>
          <w:sz w:val="18"/>
          <w:szCs w:val="18"/>
        </w:rPr>
      </w:pPr>
      <w:r w:rsidRPr="001050EA">
        <w:rPr>
          <w:spacing w:val="0"/>
          <w:sz w:val="18"/>
          <w:szCs w:val="18"/>
        </w:rPr>
        <w:t>La entidad vigilada</w:t>
      </w:r>
      <w:r w:rsidR="00292689" w:rsidRPr="001050EA">
        <w:rPr>
          <w:spacing w:val="0"/>
          <w:sz w:val="18"/>
          <w:szCs w:val="18"/>
        </w:rPr>
        <w:t xml:space="preserve"> debe seguir una de las </w:t>
      </w:r>
      <w:r w:rsidR="007957FA" w:rsidRPr="001050EA">
        <w:rPr>
          <w:spacing w:val="0"/>
          <w:sz w:val="18"/>
          <w:szCs w:val="18"/>
        </w:rPr>
        <w:t>2</w:t>
      </w:r>
      <w:r w:rsidR="00292689" w:rsidRPr="001050EA">
        <w:rPr>
          <w:spacing w:val="0"/>
          <w:sz w:val="18"/>
          <w:szCs w:val="18"/>
        </w:rPr>
        <w:t xml:space="preserve"> aproximaciones que se describen a continuación para incorporar sus posiciones en opciones en el cálculo de los requerimientos de capital por riesgos de mercado.</w:t>
      </w:r>
    </w:p>
    <w:p w14:paraId="7AF98658" w14:textId="77777777" w:rsidR="00292689" w:rsidRPr="001050EA" w:rsidRDefault="00292689" w:rsidP="00830C68">
      <w:pPr>
        <w:pStyle w:val="Textoindependiente"/>
        <w:rPr>
          <w:spacing w:val="0"/>
          <w:sz w:val="18"/>
          <w:szCs w:val="18"/>
        </w:rPr>
      </w:pPr>
    </w:p>
    <w:p w14:paraId="51A3DE8C" w14:textId="31ED8FC8" w:rsidR="00292689" w:rsidRPr="001050EA" w:rsidRDefault="00292689" w:rsidP="00830C68">
      <w:pPr>
        <w:pStyle w:val="Textoindependiente"/>
        <w:rPr>
          <w:spacing w:val="0"/>
          <w:sz w:val="18"/>
          <w:szCs w:val="18"/>
        </w:rPr>
      </w:pPr>
      <w:r w:rsidRPr="001050EA">
        <w:rPr>
          <w:spacing w:val="0"/>
          <w:sz w:val="18"/>
          <w:szCs w:val="18"/>
        </w:rPr>
        <w:t xml:space="preserve">Para los casos en que la entidad tenga registradas solamente posiciones largas en opciones, puede utilizar la aproximación simplificada descrita en el </w:t>
      </w:r>
      <w:r w:rsidR="00107342" w:rsidRPr="001050EA">
        <w:rPr>
          <w:spacing w:val="0"/>
          <w:sz w:val="18"/>
          <w:szCs w:val="18"/>
        </w:rPr>
        <w:t>sub</w:t>
      </w:r>
      <w:r w:rsidRPr="001050EA">
        <w:rPr>
          <w:spacing w:val="0"/>
          <w:sz w:val="18"/>
          <w:szCs w:val="18"/>
        </w:rPr>
        <w:t>numeral 2.1.6.1</w:t>
      </w:r>
      <w:r w:rsidR="00107342" w:rsidRPr="001050EA">
        <w:rPr>
          <w:spacing w:val="0"/>
          <w:sz w:val="18"/>
          <w:szCs w:val="18"/>
        </w:rPr>
        <w:t>.</w:t>
      </w:r>
      <w:r w:rsidR="00573997" w:rsidRPr="001050EA">
        <w:rPr>
          <w:spacing w:val="0"/>
          <w:sz w:val="18"/>
          <w:szCs w:val="18"/>
        </w:rPr>
        <w:t xml:space="preserve"> del presente Anexo</w:t>
      </w:r>
      <w:r w:rsidRPr="001050EA">
        <w:rPr>
          <w:spacing w:val="0"/>
          <w:sz w:val="18"/>
          <w:szCs w:val="18"/>
        </w:rPr>
        <w:t xml:space="preserve">. Aquellas entidades que posean posiciones cortas en opciones deben utilizar la aproximación intermedia descrita en el </w:t>
      </w:r>
      <w:r w:rsidR="00107342" w:rsidRPr="001050EA">
        <w:rPr>
          <w:spacing w:val="0"/>
          <w:sz w:val="18"/>
          <w:szCs w:val="18"/>
        </w:rPr>
        <w:t>sub</w:t>
      </w:r>
      <w:r w:rsidRPr="001050EA">
        <w:rPr>
          <w:spacing w:val="0"/>
          <w:sz w:val="18"/>
          <w:szCs w:val="18"/>
        </w:rPr>
        <w:t>numeral 2.1.6.2</w:t>
      </w:r>
      <w:r w:rsidR="00107342" w:rsidRPr="001050EA">
        <w:rPr>
          <w:spacing w:val="0"/>
          <w:sz w:val="18"/>
          <w:szCs w:val="18"/>
        </w:rPr>
        <w:t>.</w:t>
      </w:r>
      <w:r w:rsidR="00573997" w:rsidRPr="001050EA">
        <w:rPr>
          <w:spacing w:val="0"/>
          <w:sz w:val="18"/>
          <w:szCs w:val="18"/>
        </w:rPr>
        <w:t xml:space="preserve"> del presente Anexo</w:t>
      </w:r>
      <w:r w:rsidRPr="001050EA">
        <w:rPr>
          <w:spacing w:val="0"/>
          <w:sz w:val="18"/>
          <w:szCs w:val="18"/>
        </w:rPr>
        <w:t>.</w:t>
      </w:r>
    </w:p>
    <w:p w14:paraId="169D6F03" w14:textId="77777777" w:rsidR="00292689" w:rsidRPr="001050EA" w:rsidRDefault="00292689" w:rsidP="00830C68">
      <w:pPr>
        <w:pStyle w:val="Textoindependiente"/>
        <w:rPr>
          <w:spacing w:val="0"/>
          <w:sz w:val="18"/>
          <w:szCs w:val="18"/>
        </w:rPr>
      </w:pPr>
    </w:p>
    <w:p w14:paraId="30B88AE0" w14:textId="45EAE75F" w:rsidR="00292689" w:rsidRPr="001050EA" w:rsidRDefault="00292689" w:rsidP="00830C68">
      <w:pPr>
        <w:pStyle w:val="Textoindependiente"/>
        <w:numPr>
          <w:ilvl w:val="3"/>
          <w:numId w:val="24"/>
        </w:numPr>
        <w:rPr>
          <w:bCs/>
          <w:spacing w:val="0"/>
          <w:sz w:val="18"/>
          <w:szCs w:val="18"/>
        </w:rPr>
      </w:pPr>
      <w:r w:rsidRPr="001050EA">
        <w:rPr>
          <w:bCs/>
          <w:spacing w:val="0"/>
          <w:sz w:val="18"/>
          <w:szCs w:val="18"/>
        </w:rPr>
        <w:t>Aproximación simplificada</w:t>
      </w:r>
    </w:p>
    <w:p w14:paraId="32B48379" w14:textId="77777777" w:rsidR="00292689" w:rsidRPr="001050EA" w:rsidRDefault="00292689" w:rsidP="00830C68">
      <w:pPr>
        <w:pStyle w:val="Textoindependiente"/>
        <w:rPr>
          <w:b/>
          <w:bCs/>
          <w:spacing w:val="0"/>
          <w:sz w:val="18"/>
          <w:szCs w:val="18"/>
        </w:rPr>
      </w:pPr>
    </w:p>
    <w:p w14:paraId="52249977" w14:textId="77777777" w:rsidR="00292689" w:rsidRPr="001050EA" w:rsidRDefault="00292689" w:rsidP="00830C68">
      <w:pPr>
        <w:pStyle w:val="Textoindependiente"/>
        <w:rPr>
          <w:spacing w:val="0"/>
          <w:sz w:val="18"/>
          <w:szCs w:val="18"/>
        </w:rPr>
      </w:pPr>
      <w:r w:rsidRPr="001050EA">
        <w:rPr>
          <w:spacing w:val="0"/>
          <w:sz w:val="18"/>
          <w:szCs w:val="18"/>
        </w:rPr>
        <w:t>En la aproximación simplificada, la exposición a los riesgos de mercado corresponde a la suma de las exposiciones individuales calculadas como el menor valor entre:</w:t>
      </w:r>
    </w:p>
    <w:p w14:paraId="61204245" w14:textId="77777777" w:rsidR="00292689" w:rsidRPr="001050EA" w:rsidRDefault="00292689" w:rsidP="00830C68">
      <w:pPr>
        <w:pStyle w:val="Textoindependiente"/>
        <w:rPr>
          <w:spacing w:val="0"/>
          <w:sz w:val="18"/>
          <w:szCs w:val="18"/>
        </w:rPr>
      </w:pPr>
    </w:p>
    <w:p w14:paraId="2D9B3B51" w14:textId="014755D0" w:rsidR="00292689" w:rsidRDefault="00292689" w:rsidP="00830C68">
      <w:pPr>
        <w:pStyle w:val="Textoindependiente"/>
        <w:numPr>
          <w:ilvl w:val="0"/>
          <w:numId w:val="9"/>
        </w:numPr>
        <w:tabs>
          <w:tab w:val="clear" w:pos="720"/>
          <w:tab w:val="num" w:pos="284"/>
        </w:tabs>
        <w:ind w:left="284" w:hanging="284"/>
        <w:rPr>
          <w:spacing w:val="0"/>
          <w:sz w:val="18"/>
          <w:szCs w:val="18"/>
        </w:rPr>
      </w:pPr>
      <w:r w:rsidRPr="001050EA">
        <w:rPr>
          <w:spacing w:val="0"/>
          <w:sz w:val="18"/>
          <w:szCs w:val="18"/>
        </w:rPr>
        <w:t>El producto entre el valor razonable (“</w:t>
      </w:r>
      <w:r w:rsidRPr="001050EA">
        <w:rPr>
          <w:i/>
          <w:spacing w:val="0"/>
          <w:sz w:val="18"/>
          <w:szCs w:val="18"/>
        </w:rPr>
        <w:t>fair value</w:t>
      </w:r>
      <w:r w:rsidRPr="001050EA">
        <w:rPr>
          <w:spacing w:val="0"/>
          <w:sz w:val="18"/>
          <w:szCs w:val="18"/>
        </w:rPr>
        <w:t xml:space="preserve">”) del instrumento subyacente y el factor de sensibilidad relevante (Tablas 1 y </w:t>
      </w:r>
      <w:r w:rsidR="00A64C93" w:rsidRPr="001050EA">
        <w:rPr>
          <w:spacing w:val="0"/>
          <w:sz w:val="18"/>
          <w:szCs w:val="18"/>
        </w:rPr>
        <w:t>2)</w:t>
      </w:r>
    </w:p>
    <w:p w14:paraId="28B3C117" w14:textId="77777777" w:rsidR="007B151C" w:rsidRPr="001050EA" w:rsidRDefault="007B151C" w:rsidP="007B151C">
      <w:pPr>
        <w:pStyle w:val="Textoindependiente"/>
        <w:ind w:left="284"/>
        <w:rPr>
          <w:spacing w:val="0"/>
          <w:sz w:val="18"/>
          <w:szCs w:val="18"/>
        </w:rPr>
      </w:pPr>
    </w:p>
    <w:p w14:paraId="373F5BA2" w14:textId="6A77B447" w:rsidR="00292689" w:rsidRPr="001050EA" w:rsidRDefault="00292689" w:rsidP="00830C68">
      <w:pPr>
        <w:pStyle w:val="Textoindependiente"/>
        <w:numPr>
          <w:ilvl w:val="0"/>
          <w:numId w:val="9"/>
        </w:numPr>
        <w:tabs>
          <w:tab w:val="clear" w:pos="720"/>
          <w:tab w:val="num" w:pos="284"/>
        </w:tabs>
        <w:ind w:left="284" w:hanging="284"/>
        <w:rPr>
          <w:spacing w:val="0"/>
          <w:sz w:val="18"/>
          <w:szCs w:val="18"/>
        </w:rPr>
      </w:pPr>
      <w:r w:rsidRPr="001050EA">
        <w:rPr>
          <w:spacing w:val="0"/>
          <w:sz w:val="18"/>
          <w:szCs w:val="18"/>
        </w:rPr>
        <w:t>El valor de mercado de la opción, de acuerdo con la metodología especificada en el Capítulo XVIII</w:t>
      </w:r>
      <w:r w:rsidR="00BF5CDB" w:rsidRPr="001050EA">
        <w:rPr>
          <w:spacing w:val="0"/>
          <w:sz w:val="18"/>
          <w:szCs w:val="18"/>
        </w:rPr>
        <w:t xml:space="preserve"> de la CBCF</w:t>
      </w:r>
      <w:r w:rsidRPr="001050EA">
        <w:rPr>
          <w:spacing w:val="0"/>
          <w:sz w:val="18"/>
          <w:szCs w:val="18"/>
        </w:rPr>
        <w:t>.</w:t>
      </w:r>
    </w:p>
    <w:p w14:paraId="14AB1B17" w14:textId="77777777" w:rsidR="00292689" w:rsidRPr="001050EA" w:rsidRDefault="00292689" w:rsidP="00830C68">
      <w:pPr>
        <w:pStyle w:val="Textoindependiente"/>
        <w:rPr>
          <w:spacing w:val="0"/>
          <w:sz w:val="18"/>
          <w:szCs w:val="18"/>
        </w:rPr>
      </w:pPr>
    </w:p>
    <w:p w14:paraId="033AEE8B" w14:textId="6A24FD26" w:rsidR="00292689" w:rsidRPr="001050EA" w:rsidRDefault="00292689" w:rsidP="00830C68">
      <w:pPr>
        <w:pStyle w:val="Textoindependiente"/>
        <w:rPr>
          <w:spacing w:val="0"/>
          <w:sz w:val="18"/>
          <w:szCs w:val="18"/>
        </w:rPr>
      </w:pPr>
      <w:r w:rsidRPr="001050EA">
        <w:rPr>
          <w:spacing w:val="0"/>
          <w:sz w:val="18"/>
          <w:szCs w:val="18"/>
        </w:rPr>
        <w:t>El resultado del cálculo anterior debe ser sumado al módulo correspondiente (</w:t>
      </w:r>
      <w:r w:rsidR="00D15F80" w:rsidRPr="001050EA">
        <w:rPr>
          <w:spacing w:val="0"/>
          <w:sz w:val="18"/>
          <w:szCs w:val="18"/>
        </w:rPr>
        <w:t xml:space="preserve">subnumerales </w:t>
      </w:r>
      <w:r w:rsidRPr="001050EA">
        <w:rPr>
          <w:spacing w:val="0"/>
          <w:sz w:val="18"/>
          <w:szCs w:val="18"/>
        </w:rPr>
        <w:t>2.1.2 a 2.1.5</w:t>
      </w:r>
      <w:r w:rsidR="00D15F80" w:rsidRPr="001050EA">
        <w:rPr>
          <w:spacing w:val="0"/>
          <w:sz w:val="18"/>
          <w:szCs w:val="18"/>
        </w:rPr>
        <w:t xml:space="preserve"> del presente Anexo</w:t>
      </w:r>
      <w:r w:rsidRPr="001050EA">
        <w:rPr>
          <w:spacing w:val="0"/>
          <w:sz w:val="18"/>
          <w:szCs w:val="18"/>
        </w:rPr>
        <w:t>).</w:t>
      </w:r>
    </w:p>
    <w:p w14:paraId="28109A56" w14:textId="1FFD8E91" w:rsidR="009201E2" w:rsidRPr="001050EA" w:rsidRDefault="009201E2" w:rsidP="00830C68">
      <w:pPr>
        <w:pStyle w:val="Textoindependiente"/>
        <w:rPr>
          <w:spacing w:val="0"/>
          <w:sz w:val="18"/>
          <w:szCs w:val="18"/>
        </w:rPr>
      </w:pPr>
    </w:p>
    <w:p w14:paraId="5D53026D" w14:textId="549100D0" w:rsidR="009201E2" w:rsidRPr="001050EA" w:rsidRDefault="009201E2" w:rsidP="00830C68">
      <w:pPr>
        <w:pStyle w:val="Textoindependiente"/>
        <w:rPr>
          <w:spacing w:val="0"/>
          <w:sz w:val="18"/>
          <w:szCs w:val="18"/>
        </w:rPr>
      </w:pPr>
    </w:p>
    <w:p w14:paraId="59D91702" w14:textId="77777777" w:rsidR="009201E2" w:rsidRPr="001050EA" w:rsidRDefault="009201E2" w:rsidP="00830C68">
      <w:pPr>
        <w:pStyle w:val="Textoindependiente"/>
        <w:rPr>
          <w:spacing w:val="0"/>
          <w:sz w:val="18"/>
          <w:szCs w:val="18"/>
        </w:rPr>
      </w:pPr>
    </w:p>
    <w:p w14:paraId="0AB04A4D" w14:textId="5FBB010D" w:rsidR="00292689" w:rsidRPr="001050EA" w:rsidRDefault="00292689" w:rsidP="00830C68">
      <w:pPr>
        <w:pStyle w:val="Textoindependiente"/>
        <w:numPr>
          <w:ilvl w:val="3"/>
          <w:numId w:val="24"/>
        </w:numPr>
        <w:rPr>
          <w:bCs/>
          <w:spacing w:val="0"/>
          <w:sz w:val="18"/>
          <w:szCs w:val="18"/>
        </w:rPr>
      </w:pPr>
      <w:r w:rsidRPr="001050EA">
        <w:rPr>
          <w:bCs/>
          <w:spacing w:val="0"/>
          <w:sz w:val="18"/>
          <w:szCs w:val="18"/>
        </w:rPr>
        <w:t>Aproximación intermedia</w:t>
      </w:r>
    </w:p>
    <w:p w14:paraId="281F31B9" w14:textId="77777777" w:rsidR="00292689" w:rsidRPr="001050EA" w:rsidRDefault="00292689" w:rsidP="00830C68">
      <w:pPr>
        <w:pStyle w:val="Textoindependiente"/>
        <w:rPr>
          <w:b/>
          <w:bCs/>
          <w:spacing w:val="0"/>
          <w:sz w:val="18"/>
          <w:szCs w:val="18"/>
        </w:rPr>
      </w:pPr>
    </w:p>
    <w:p w14:paraId="4FC354E9" w14:textId="43ED85CF" w:rsidR="00292689" w:rsidRPr="001050EA" w:rsidRDefault="00292689" w:rsidP="00830C68">
      <w:pPr>
        <w:pStyle w:val="Textoindependiente"/>
        <w:rPr>
          <w:spacing w:val="0"/>
          <w:sz w:val="18"/>
          <w:szCs w:val="18"/>
        </w:rPr>
      </w:pPr>
      <w:r w:rsidRPr="001050EA">
        <w:rPr>
          <w:spacing w:val="0"/>
          <w:sz w:val="18"/>
          <w:szCs w:val="18"/>
        </w:rPr>
        <w:t>En la aproximación intermedia el cargo de capital asociado a las posiciones en opciones es calculado a partir de los factores de sensibilidad (“</w:t>
      </w:r>
      <w:r w:rsidRPr="001050EA">
        <w:rPr>
          <w:i/>
          <w:iCs/>
          <w:spacing w:val="0"/>
          <w:sz w:val="18"/>
          <w:szCs w:val="18"/>
        </w:rPr>
        <w:t>Griegas</w:t>
      </w:r>
      <w:r w:rsidRPr="001050EA">
        <w:rPr>
          <w:spacing w:val="0"/>
          <w:sz w:val="18"/>
          <w:szCs w:val="18"/>
        </w:rPr>
        <w:t xml:space="preserve">”) </w:t>
      </w:r>
      <w:r w:rsidRPr="001050EA">
        <w:rPr>
          <w:i/>
          <w:iCs/>
          <w:spacing w:val="0"/>
          <w:sz w:val="18"/>
          <w:szCs w:val="18"/>
        </w:rPr>
        <w:t xml:space="preserve">delta, gamma </w:t>
      </w:r>
      <w:r w:rsidRPr="001050EA">
        <w:rPr>
          <w:spacing w:val="0"/>
          <w:sz w:val="18"/>
          <w:szCs w:val="18"/>
        </w:rPr>
        <w:t>y</w:t>
      </w:r>
      <w:r w:rsidRPr="001050EA">
        <w:rPr>
          <w:i/>
          <w:iCs/>
          <w:spacing w:val="0"/>
          <w:sz w:val="18"/>
          <w:szCs w:val="18"/>
        </w:rPr>
        <w:t xml:space="preserve"> vega</w:t>
      </w:r>
      <w:r w:rsidRPr="001050EA">
        <w:rPr>
          <w:spacing w:val="0"/>
          <w:sz w:val="18"/>
          <w:szCs w:val="18"/>
        </w:rPr>
        <w:t xml:space="preserve"> </w:t>
      </w:r>
      <w:r w:rsidR="00A64C93" w:rsidRPr="001050EA">
        <w:rPr>
          <w:spacing w:val="0"/>
          <w:sz w:val="18"/>
          <w:szCs w:val="18"/>
        </w:rPr>
        <w:t>de acuerdo con</w:t>
      </w:r>
      <w:r w:rsidRPr="001050EA">
        <w:rPr>
          <w:spacing w:val="0"/>
          <w:sz w:val="18"/>
          <w:szCs w:val="18"/>
        </w:rPr>
        <w:t xml:space="preserve"> lo estipulado en los siguientes incisos:</w:t>
      </w:r>
    </w:p>
    <w:p w14:paraId="139D4544" w14:textId="77777777" w:rsidR="00292689" w:rsidRPr="001050EA" w:rsidRDefault="00292689" w:rsidP="00830C68">
      <w:pPr>
        <w:pStyle w:val="Textoindependiente"/>
        <w:rPr>
          <w:spacing w:val="0"/>
          <w:sz w:val="18"/>
          <w:szCs w:val="18"/>
        </w:rPr>
      </w:pPr>
    </w:p>
    <w:p w14:paraId="1376F448" w14:textId="751B55B4" w:rsidR="00292689" w:rsidRPr="001050EA" w:rsidRDefault="00292689" w:rsidP="00830C68">
      <w:pPr>
        <w:pStyle w:val="Textoindependiente"/>
        <w:numPr>
          <w:ilvl w:val="0"/>
          <w:numId w:val="18"/>
        </w:numPr>
        <w:tabs>
          <w:tab w:val="clear" w:pos="720"/>
          <w:tab w:val="num" w:pos="284"/>
        </w:tabs>
        <w:ind w:left="284" w:hanging="284"/>
        <w:rPr>
          <w:spacing w:val="0"/>
          <w:sz w:val="18"/>
          <w:szCs w:val="18"/>
        </w:rPr>
      </w:pPr>
      <w:r w:rsidRPr="001050EA">
        <w:rPr>
          <w:spacing w:val="0"/>
          <w:sz w:val="18"/>
          <w:szCs w:val="18"/>
        </w:rPr>
        <w:t>Posición delta ponderada</w:t>
      </w:r>
      <w:r w:rsidR="00DB4ABA" w:rsidRPr="001050EA">
        <w:rPr>
          <w:spacing w:val="0"/>
          <w:sz w:val="18"/>
          <w:szCs w:val="18"/>
        </w:rPr>
        <w:t>.</w:t>
      </w:r>
    </w:p>
    <w:p w14:paraId="558638EF" w14:textId="77777777" w:rsidR="00292689" w:rsidRPr="001050EA" w:rsidRDefault="00292689" w:rsidP="00830C68">
      <w:pPr>
        <w:pStyle w:val="Textoindependiente"/>
        <w:tabs>
          <w:tab w:val="num" w:pos="284"/>
        </w:tabs>
        <w:ind w:left="284" w:hanging="284"/>
        <w:rPr>
          <w:spacing w:val="0"/>
          <w:sz w:val="18"/>
          <w:szCs w:val="18"/>
        </w:rPr>
      </w:pPr>
    </w:p>
    <w:p w14:paraId="19430D4E" w14:textId="3451CD2C" w:rsidR="00292689" w:rsidRPr="001050EA" w:rsidRDefault="00292689" w:rsidP="00DB4ABA">
      <w:pPr>
        <w:pStyle w:val="Textoindependiente"/>
        <w:tabs>
          <w:tab w:val="num" w:pos="284"/>
        </w:tabs>
        <w:ind w:left="284"/>
        <w:rPr>
          <w:spacing w:val="0"/>
          <w:sz w:val="18"/>
          <w:szCs w:val="18"/>
        </w:rPr>
      </w:pPr>
      <w:r w:rsidRPr="001050EA">
        <w:rPr>
          <w:spacing w:val="0"/>
          <w:sz w:val="18"/>
          <w:szCs w:val="18"/>
        </w:rPr>
        <w:t xml:space="preserve">Bajo </w:t>
      </w:r>
      <w:r w:rsidR="005541D0" w:rsidRPr="001050EA">
        <w:rPr>
          <w:spacing w:val="0"/>
          <w:sz w:val="18"/>
          <w:szCs w:val="18"/>
        </w:rPr>
        <w:t>esta</w:t>
      </w:r>
      <w:r w:rsidRPr="001050EA">
        <w:rPr>
          <w:spacing w:val="0"/>
          <w:sz w:val="18"/>
          <w:szCs w:val="18"/>
        </w:rPr>
        <w:t xml:space="preserve"> aproximación la posición delta ponderada de las opciones está sujeta a los requerimientos de capital descritos en los </w:t>
      </w:r>
      <w:r w:rsidR="00BD78CE" w:rsidRPr="001050EA">
        <w:rPr>
          <w:spacing w:val="0"/>
          <w:sz w:val="18"/>
          <w:szCs w:val="18"/>
        </w:rPr>
        <w:t>sub</w:t>
      </w:r>
      <w:r w:rsidRPr="001050EA">
        <w:rPr>
          <w:spacing w:val="0"/>
          <w:sz w:val="18"/>
          <w:szCs w:val="18"/>
        </w:rPr>
        <w:t xml:space="preserve">numerales 2.1.2. a 2.1.5. </w:t>
      </w:r>
      <w:r w:rsidR="000568CF" w:rsidRPr="001050EA">
        <w:rPr>
          <w:spacing w:val="0"/>
          <w:sz w:val="18"/>
          <w:szCs w:val="18"/>
        </w:rPr>
        <w:t xml:space="preserve">del presente Anexo </w:t>
      </w:r>
      <w:r w:rsidRPr="001050EA">
        <w:rPr>
          <w:spacing w:val="0"/>
          <w:sz w:val="18"/>
          <w:szCs w:val="18"/>
        </w:rPr>
        <w:t>dependiendo de los cargos aplicables al subyacente de la opción.</w:t>
      </w:r>
    </w:p>
    <w:p w14:paraId="3C623311" w14:textId="77777777" w:rsidR="00292689" w:rsidRPr="001050EA" w:rsidRDefault="00292689" w:rsidP="00830C68">
      <w:pPr>
        <w:pStyle w:val="Textoindependiente"/>
        <w:tabs>
          <w:tab w:val="num" w:pos="284"/>
        </w:tabs>
        <w:ind w:left="284" w:hanging="284"/>
        <w:rPr>
          <w:spacing w:val="0"/>
          <w:sz w:val="18"/>
          <w:szCs w:val="18"/>
        </w:rPr>
      </w:pPr>
    </w:p>
    <w:p w14:paraId="1E4DE2D4" w14:textId="171AAAE8" w:rsidR="00292689" w:rsidRPr="001050EA" w:rsidRDefault="00292689" w:rsidP="00830C68">
      <w:pPr>
        <w:pStyle w:val="Textoindependiente"/>
        <w:numPr>
          <w:ilvl w:val="0"/>
          <w:numId w:val="18"/>
        </w:numPr>
        <w:tabs>
          <w:tab w:val="clear" w:pos="720"/>
          <w:tab w:val="num" w:pos="284"/>
        </w:tabs>
        <w:ind w:left="284" w:hanging="284"/>
        <w:rPr>
          <w:spacing w:val="0"/>
          <w:sz w:val="18"/>
          <w:szCs w:val="18"/>
        </w:rPr>
      </w:pPr>
      <w:r w:rsidRPr="001050EA">
        <w:rPr>
          <w:spacing w:val="0"/>
          <w:sz w:val="18"/>
          <w:szCs w:val="18"/>
        </w:rPr>
        <w:t>Riesgo Gamma</w:t>
      </w:r>
      <w:r w:rsidR="00DB4ABA" w:rsidRPr="001050EA">
        <w:rPr>
          <w:spacing w:val="0"/>
          <w:sz w:val="18"/>
          <w:szCs w:val="18"/>
        </w:rPr>
        <w:t>.</w:t>
      </w:r>
    </w:p>
    <w:p w14:paraId="2D0395B7" w14:textId="77777777" w:rsidR="00292689" w:rsidRPr="001050EA" w:rsidRDefault="00292689" w:rsidP="00830C68">
      <w:pPr>
        <w:pStyle w:val="Textoindependiente"/>
        <w:tabs>
          <w:tab w:val="num" w:pos="284"/>
        </w:tabs>
        <w:ind w:left="284" w:hanging="284"/>
        <w:rPr>
          <w:b/>
          <w:bCs/>
          <w:spacing w:val="0"/>
          <w:sz w:val="18"/>
          <w:szCs w:val="18"/>
        </w:rPr>
      </w:pPr>
    </w:p>
    <w:p w14:paraId="7D9357E1" w14:textId="77777777" w:rsidR="00292689" w:rsidRPr="001050EA" w:rsidRDefault="00292689" w:rsidP="00DB4ABA">
      <w:pPr>
        <w:pStyle w:val="Textoindependiente"/>
        <w:tabs>
          <w:tab w:val="num" w:pos="284"/>
        </w:tabs>
        <w:ind w:left="284"/>
        <w:rPr>
          <w:spacing w:val="0"/>
          <w:sz w:val="18"/>
          <w:szCs w:val="18"/>
        </w:rPr>
      </w:pPr>
      <w:r w:rsidRPr="001050EA">
        <w:rPr>
          <w:spacing w:val="0"/>
          <w:sz w:val="18"/>
          <w:szCs w:val="18"/>
        </w:rPr>
        <w:t>Para cada opción, un impacto gamma deberá ser calculado como:</w:t>
      </w:r>
    </w:p>
    <w:p w14:paraId="189F611B" w14:textId="77777777" w:rsidR="00292689" w:rsidRPr="001050EA" w:rsidRDefault="00292689" w:rsidP="00830C68">
      <w:pPr>
        <w:pStyle w:val="Textoindependiente"/>
        <w:rPr>
          <w:b/>
          <w:bCs/>
          <w:spacing w:val="0"/>
          <w:sz w:val="18"/>
          <w:szCs w:val="18"/>
        </w:rPr>
      </w:pPr>
    </w:p>
    <w:p w14:paraId="355D00C8" w14:textId="77777777" w:rsidR="00292689" w:rsidRPr="001050EA" w:rsidRDefault="00E65CC2" w:rsidP="00830C68">
      <w:pPr>
        <w:pStyle w:val="Textoindependiente"/>
        <w:jc w:val="center"/>
        <w:rPr>
          <w:b/>
          <w:bCs/>
          <w:spacing w:val="0"/>
          <w:sz w:val="18"/>
          <w:szCs w:val="18"/>
        </w:rPr>
      </w:pPr>
      <w:r w:rsidRPr="001050EA">
        <w:rPr>
          <w:b/>
          <w:bCs/>
          <w:noProof/>
          <w:spacing w:val="0"/>
          <w:position w:val="-24"/>
          <w:sz w:val="18"/>
          <w:szCs w:val="18"/>
        </w:rPr>
        <w:object w:dxaOrig="2680" w:dyaOrig="620" w14:anchorId="14207DC8">
          <v:shape id="_x0000_i1028" type="#_x0000_t75" style="width:133.1pt;height:28.45pt" o:ole="">
            <v:imagedata r:id="rId18" o:title=""/>
          </v:shape>
          <o:OLEObject Type="Embed" ProgID="Equation.3" ShapeID="_x0000_i1028" DrawAspect="Content" ObjectID="_1693808685" r:id="rId19"/>
        </w:object>
      </w:r>
    </w:p>
    <w:p w14:paraId="4BF3C66E" w14:textId="77777777" w:rsidR="00292689" w:rsidRPr="001050EA" w:rsidRDefault="00292689" w:rsidP="00830C68">
      <w:pPr>
        <w:pStyle w:val="Textoindependiente"/>
        <w:rPr>
          <w:b/>
          <w:bCs/>
          <w:spacing w:val="0"/>
          <w:sz w:val="18"/>
          <w:szCs w:val="18"/>
        </w:rPr>
      </w:pPr>
    </w:p>
    <w:p w14:paraId="621058A1" w14:textId="6D7A3786" w:rsidR="00292689" w:rsidRPr="001050EA" w:rsidRDefault="0024376A" w:rsidP="00DB4ABA">
      <w:pPr>
        <w:pStyle w:val="Textoindependiente"/>
        <w:ind w:left="284"/>
        <w:rPr>
          <w:spacing w:val="0"/>
          <w:sz w:val="18"/>
          <w:szCs w:val="18"/>
        </w:rPr>
      </w:pPr>
      <w:r w:rsidRPr="001050EA">
        <w:rPr>
          <w:spacing w:val="0"/>
          <w:sz w:val="18"/>
          <w:szCs w:val="18"/>
        </w:rPr>
        <w:t>D</w:t>
      </w:r>
      <w:r w:rsidR="009350DB" w:rsidRPr="001050EA">
        <w:rPr>
          <w:spacing w:val="0"/>
          <w:sz w:val="18"/>
          <w:szCs w:val="18"/>
        </w:rPr>
        <w:t>o</w:t>
      </w:r>
      <w:r w:rsidRPr="001050EA">
        <w:rPr>
          <w:spacing w:val="0"/>
          <w:sz w:val="18"/>
          <w:szCs w:val="18"/>
        </w:rPr>
        <w:t>nde</w:t>
      </w:r>
      <w:r w:rsidR="00292689" w:rsidRPr="001050EA">
        <w:rPr>
          <w:spacing w:val="0"/>
          <w:sz w:val="18"/>
          <w:szCs w:val="18"/>
        </w:rPr>
        <w:t>:</w:t>
      </w:r>
    </w:p>
    <w:p w14:paraId="2824FD32" w14:textId="77777777" w:rsidR="00292689" w:rsidRPr="001050EA" w:rsidRDefault="00292689" w:rsidP="00DB4ABA">
      <w:pPr>
        <w:pStyle w:val="Textoindependiente"/>
        <w:ind w:left="284"/>
        <w:rPr>
          <w:spacing w:val="0"/>
          <w:sz w:val="18"/>
          <w:szCs w:val="18"/>
        </w:rPr>
      </w:pPr>
      <w:r w:rsidRPr="001050EA">
        <w:rPr>
          <w:i/>
          <w:iCs/>
          <w:spacing w:val="0"/>
          <w:sz w:val="18"/>
          <w:szCs w:val="18"/>
        </w:rPr>
        <w:t>VS</w:t>
      </w:r>
      <w:r w:rsidRPr="001050EA">
        <w:rPr>
          <w:i/>
          <w:iCs/>
          <w:spacing w:val="0"/>
          <w:sz w:val="18"/>
          <w:szCs w:val="18"/>
        </w:rPr>
        <w:tab/>
      </w:r>
      <w:r w:rsidRPr="001050EA">
        <w:rPr>
          <w:i/>
          <w:iCs/>
          <w:spacing w:val="0"/>
          <w:sz w:val="18"/>
          <w:szCs w:val="18"/>
        </w:rPr>
        <w:tab/>
      </w:r>
      <w:r w:rsidRPr="001050EA">
        <w:rPr>
          <w:spacing w:val="0"/>
          <w:sz w:val="18"/>
          <w:szCs w:val="18"/>
        </w:rPr>
        <w:t>Variación del Valor del Subyacente</w:t>
      </w:r>
    </w:p>
    <w:p w14:paraId="2E121F70" w14:textId="56371D3A" w:rsidR="00292689" w:rsidRPr="001050EA" w:rsidRDefault="00292689" w:rsidP="00DB4ABA">
      <w:pPr>
        <w:pStyle w:val="Textoindependiente"/>
        <w:ind w:left="284"/>
        <w:rPr>
          <w:spacing w:val="0"/>
          <w:sz w:val="18"/>
          <w:szCs w:val="18"/>
        </w:rPr>
      </w:pPr>
      <w:r w:rsidRPr="001050EA">
        <w:rPr>
          <w:i/>
          <w:iCs/>
          <w:spacing w:val="0"/>
          <w:sz w:val="18"/>
          <w:szCs w:val="18"/>
        </w:rPr>
        <w:t>Gamma</w:t>
      </w:r>
      <w:r w:rsidRPr="001050EA">
        <w:rPr>
          <w:i/>
          <w:iCs/>
          <w:spacing w:val="0"/>
          <w:sz w:val="18"/>
          <w:szCs w:val="18"/>
        </w:rPr>
        <w:tab/>
      </w:r>
      <w:r w:rsidRPr="001050EA">
        <w:rPr>
          <w:spacing w:val="0"/>
          <w:sz w:val="18"/>
          <w:szCs w:val="18"/>
        </w:rPr>
        <w:t>Cambio del factor delta ante un cambio de una unidad en el valor del subyacente.</w:t>
      </w:r>
    </w:p>
    <w:p w14:paraId="084CCEFA" w14:textId="77777777" w:rsidR="00292689" w:rsidRPr="001050EA" w:rsidRDefault="00292689" w:rsidP="00DB4ABA">
      <w:pPr>
        <w:pStyle w:val="Textoindependiente"/>
        <w:ind w:left="284"/>
        <w:jc w:val="right"/>
        <w:rPr>
          <w:spacing w:val="0"/>
          <w:sz w:val="18"/>
          <w:szCs w:val="18"/>
        </w:rPr>
      </w:pPr>
    </w:p>
    <w:p w14:paraId="05AD04A5" w14:textId="2E3A4611" w:rsidR="00292689" w:rsidRPr="001050EA" w:rsidRDefault="00292689" w:rsidP="00DB4ABA">
      <w:pPr>
        <w:pStyle w:val="Textoindependiente"/>
        <w:ind w:left="284"/>
        <w:rPr>
          <w:spacing w:val="0"/>
          <w:sz w:val="18"/>
          <w:szCs w:val="18"/>
        </w:rPr>
      </w:pPr>
      <w:r w:rsidRPr="001050EA">
        <w:rPr>
          <w:spacing w:val="0"/>
          <w:sz w:val="18"/>
          <w:szCs w:val="18"/>
        </w:rPr>
        <w:t xml:space="preserve">La variación en el valor del subyacente corresponde al factor de sensibilidad de la banda correspondiente en la Tabla 1 cuando el subyacente sea un título de deuda o una tasa de interés. Para las opciones en acciones, la variación en el valor del subyacente es el factor de ponderación correspondiente según lo estipulado en </w:t>
      </w:r>
      <w:r w:rsidR="00E218E1" w:rsidRPr="001050EA">
        <w:rPr>
          <w:spacing w:val="0"/>
          <w:sz w:val="18"/>
          <w:szCs w:val="18"/>
        </w:rPr>
        <w:t xml:space="preserve">el subnumeral </w:t>
      </w:r>
      <w:r w:rsidRPr="001050EA">
        <w:rPr>
          <w:spacing w:val="0"/>
          <w:sz w:val="18"/>
          <w:szCs w:val="18"/>
        </w:rPr>
        <w:t>2.1.4</w:t>
      </w:r>
      <w:r w:rsidR="00B51EC6" w:rsidRPr="001050EA">
        <w:rPr>
          <w:spacing w:val="0"/>
          <w:sz w:val="18"/>
          <w:szCs w:val="18"/>
        </w:rPr>
        <w:t xml:space="preserve"> del presente Anexo</w:t>
      </w:r>
      <w:r w:rsidRPr="001050EA">
        <w:rPr>
          <w:spacing w:val="0"/>
          <w:sz w:val="18"/>
          <w:szCs w:val="18"/>
        </w:rPr>
        <w:t>. Para las posiciones en moneda extranjera o divisas, el cambio en el valor del subyacente es el estipulado en la Tabla 2 según corresponda.</w:t>
      </w:r>
    </w:p>
    <w:p w14:paraId="5997EDC7" w14:textId="77777777" w:rsidR="00292689" w:rsidRPr="001050EA" w:rsidRDefault="00292689" w:rsidP="00DB4ABA">
      <w:pPr>
        <w:pStyle w:val="Textoindependiente"/>
        <w:ind w:left="284"/>
        <w:rPr>
          <w:spacing w:val="0"/>
          <w:sz w:val="18"/>
          <w:szCs w:val="18"/>
        </w:rPr>
      </w:pPr>
    </w:p>
    <w:p w14:paraId="3489E235" w14:textId="77777777" w:rsidR="00292689" w:rsidRPr="001050EA" w:rsidRDefault="00292689" w:rsidP="00DB4ABA">
      <w:pPr>
        <w:pStyle w:val="Textoindependiente"/>
        <w:ind w:left="284"/>
        <w:rPr>
          <w:spacing w:val="0"/>
          <w:sz w:val="18"/>
          <w:szCs w:val="18"/>
        </w:rPr>
      </w:pPr>
      <w:r w:rsidRPr="001050EA">
        <w:rPr>
          <w:spacing w:val="0"/>
          <w:sz w:val="18"/>
          <w:szCs w:val="18"/>
        </w:rPr>
        <w:t>Posteriormente, las posiciones en opciones se agruparán según el instrumento subyacente, como se explica a continuación:</w:t>
      </w:r>
    </w:p>
    <w:p w14:paraId="28B7C8D9" w14:textId="77777777" w:rsidR="00292689" w:rsidRPr="001050EA" w:rsidRDefault="00292689" w:rsidP="00DB4ABA">
      <w:pPr>
        <w:pStyle w:val="Textoindependiente"/>
        <w:ind w:left="284"/>
        <w:rPr>
          <w:spacing w:val="0"/>
          <w:sz w:val="18"/>
          <w:szCs w:val="18"/>
        </w:rPr>
      </w:pPr>
    </w:p>
    <w:p w14:paraId="2DA0EC26" w14:textId="77777777" w:rsidR="00DE77A7" w:rsidRPr="001050EA" w:rsidRDefault="00292689" w:rsidP="00DB4ABA">
      <w:pPr>
        <w:pStyle w:val="Textoindependiente"/>
        <w:numPr>
          <w:ilvl w:val="0"/>
          <w:numId w:val="35"/>
        </w:numPr>
        <w:tabs>
          <w:tab w:val="clear" w:pos="720"/>
        </w:tabs>
        <w:ind w:left="567" w:hanging="283"/>
        <w:rPr>
          <w:spacing w:val="0"/>
          <w:sz w:val="18"/>
          <w:szCs w:val="18"/>
        </w:rPr>
      </w:pPr>
      <w:r w:rsidRPr="001050EA">
        <w:rPr>
          <w:spacing w:val="0"/>
          <w:sz w:val="18"/>
          <w:szCs w:val="18"/>
        </w:rPr>
        <w:t>Por banda en las escaleras de duración modificada en el caso de opciones con subyacentes expuestos a riesgo de tasa de interés.</w:t>
      </w:r>
    </w:p>
    <w:p w14:paraId="119033F1" w14:textId="77777777" w:rsidR="00DE77A7" w:rsidRPr="001050EA" w:rsidRDefault="00292689" w:rsidP="00DB4ABA">
      <w:pPr>
        <w:pStyle w:val="Textoindependiente"/>
        <w:numPr>
          <w:ilvl w:val="0"/>
          <w:numId w:val="35"/>
        </w:numPr>
        <w:tabs>
          <w:tab w:val="clear" w:pos="720"/>
        </w:tabs>
        <w:ind w:left="567" w:hanging="283"/>
        <w:rPr>
          <w:spacing w:val="0"/>
          <w:sz w:val="18"/>
          <w:szCs w:val="18"/>
        </w:rPr>
      </w:pPr>
      <w:r w:rsidRPr="001050EA">
        <w:rPr>
          <w:spacing w:val="0"/>
          <w:sz w:val="18"/>
          <w:szCs w:val="18"/>
        </w:rPr>
        <w:t>Por mercado nacional en el caso de opciones con subyacentes expuestos a riesgo de cambios en el precio de acciones.</w:t>
      </w:r>
    </w:p>
    <w:p w14:paraId="642558A0" w14:textId="77777777" w:rsidR="00292689" w:rsidRPr="001050EA" w:rsidRDefault="00292689" w:rsidP="00DB4ABA">
      <w:pPr>
        <w:pStyle w:val="Textoindependiente"/>
        <w:numPr>
          <w:ilvl w:val="0"/>
          <w:numId w:val="35"/>
        </w:numPr>
        <w:tabs>
          <w:tab w:val="clear" w:pos="720"/>
        </w:tabs>
        <w:ind w:left="567" w:hanging="283"/>
        <w:rPr>
          <w:spacing w:val="0"/>
          <w:sz w:val="18"/>
          <w:szCs w:val="18"/>
        </w:rPr>
      </w:pPr>
      <w:r w:rsidRPr="001050EA">
        <w:rPr>
          <w:spacing w:val="0"/>
          <w:sz w:val="18"/>
          <w:szCs w:val="18"/>
        </w:rPr>
        <w:t>Por moneda en el caso de opciones con subyacentes expuestos a riesgo de tasa de cambio.</w:t>
      </w:r>
    </w:p>
    <w:p w14:paraId="07C5D52F" w14:textId="77777777" w:rsidR="00292689" w:rsidRPr="001050EA" w:rsidRDefault="00292689" w:rsidP="00830C68">
      <w:pPr>
        <w:pStyle w:val="Textoindependiente"/>
        <w:rPr>
          <w:spacing w:val="0"/>
          <w:sz w:val="18"/>
          <w:szCs w:val="18"/>
        </w:rPr>
      </w:pPr>
    </w:p>
    <w:p w14:paraId="4B90247F" w14:textId="77777777" w:rsidR="00292689" w:rsidRPr="001050EA" w:rsidRDefault="00292689" w:rsidP="00DB4ABA">
      <w:pPr>
        <w:pStyle w:val="Textoindependiente"/>
        <w:ind w:left="284"/>
        <w:rPr>
          <w:spacing w:val="0"/>
          <w:sz w:val="18"/>
          <w:szCs w:val="18"/>
        </w:rPr>
      </w:pPr>
      <w:r w:rsidRPr="001050EA">
        <w:rPr>
          <w:spacing w:val="0"/>
          <w:sz w:val="18"/>
          <w:szCs w:val="18"/>
        </w:rPr>
        <w:t>Para cada grupo se calcula un impacto gamma neto, como la suma de los impactos gamma de todas las posiciones en la agrupación. Para el cálculo de los requerimientos de capital solamente se tienen en cuenta, en valor absoluto, los impactos gamma netos negativos.</w:t>
      </w:r>
    </w:p>
    <w:p w14:paraId="73D4ED5B" w14:textId="77777777" w:rsidR="00292689" w:rsidRPr="001050EA" w:rsidRDefault="00292689" w:rsidP="00830C68">
      <w:pPr>
        <w:pStyle w:val="Textoindependiente"/>
        <w:tabs>
          <w:tab w:val="num" w:pos="284"/>
        </w:tabs>
        <w:ind w:left="284" w:hanging="284"/>
        <w:rPr>
          <w:spacing w:val="0"/>
          <w:sz w:val="18"/>
          <w:szCs w:val="18"/>
        </w:rPr>
      </w:pPr>
    </w:p>
    <w:p w14:paraId="4AA2B85D" w14:textId="0B987964" w:rsidR="00292689" w:rsidRPr="001050EA" w:rsidRDefault="00292689" w:rsidP="00830C68">
      <w:pPr>
        <w:pStyle w:val="Textoindependiente"/>
        <w:numPr>
          <w:ilvl w:val="0"/>
          <w:numId w:val="18"/>
        </w:numPr>
        <w:tabs>
          <w:tab w:val="clear" w:pos="720"/>
          <w:tab w:val="num" w:pos="284"/>
        </w:tabs>
        <w:ind w:left="284" w:hanging="284"/>
        <w:rPr>
          <w:spacing w:val="0"/>
          <w:sz w:val="18"/>
          <w:szCs w:val="18"/>
        </w:rPr>
      </w:pPr>
      <w:r w:rsidRPr="001050EA">
        <w:rPr>
          <w:spacing w:val="0"/>
          <w:sz w:val="18"/>
          <w:szCs w:val="18"/>
        </w:rPr>
        <w:t>Riesgo Vega</w:t>
      </w:r>
      <w:r w:rsidR="00D91438" w:rsidRPr="001050EA">
        <w:rPr>
          <w:spacing w:val="0"/>
          <w:sz w:val="18"/>
          <w:szCs w:val="18"/>
        </w:rPr>
        <w:t>.</w:t>
      </w:r>
    </w:p>
    <w:p w14:paraId="5F87AECF" w14:textId="77777777" w:rsidR="00292689" w:rsidRPr="001050EA" w:rsidRDefault="00292689" w:rsidP="00830C68">
      <w:pPr>
        <w:pStyle w:val="Textoindependiente"/>
        <w:tabs>
          <w:tab w:val="num" w:pos="284"/>
        </w:tabs>
        <w:ind w:left="284" w:hanging="284"/>
        <w:rPr>
          <w:spacing w:val="0"/>
          <w:sz w:val="18"/>
          <w:szCs w:val="18"/>
        </w:rPr>
      </w:pPr>
    </w:p>
    <w:p w14:paraId="734A3208" w14:textId="77777777" w:rsidR="00292689" w:rsidRPr="001050EA" w:rsidRDefault="00292689" w:rsidP="00DB4ABA">
      <w:pPr>
        <w:pStyle w:val="Textoindependiente"/>
        <w:tabs>
          <w:tab w:val="num" w:pos="284"/>
        </w:tabs>
        <w:ind w:left="284"/>
        <w:rPr>
          <w:spacing w:val="0"/>
          <w:sz w:val="18"/>
          <w:szCs w:val="18"/>
        </w:rPr>
      </w:pPr>
      <w:r w:rsidRPr="001050EA">
        <w:rPr>
          <w:spacing w:val="0"/>
          <w:sz w:val="18"/>
          <w:szCs w:val="18"/>
        </w:rPr>
        <w:t>El riesgo vega refleja la sensibilidad del valor de las posiciones en opciones con respecto a cambios en la volatilidad del valor del instrumento subyacente. El cargo de capital correspondiente a este tipo de riesgo es calculado como la suma de los impactos vega de cada opción.</w:t>
      </w:r>
    </w:p>
    <w:p w14:paraId="006E6042" w14:textId="77777777" w:rsidR="00292689" w:rsidRPr="001050EA" w:rsidRDefault="00292689" w:rsidP="00DB4ABA">
      <w:pPr>
        <w:pStyle w:val="Textoindependiente"/>
        <w:tabs>
          <w:tab w:val="num" w:pos="284"/>
        </w:tabs>
        <w:ind w:left="284"/>
        <w:rPr>
          <w:spacing w:val="0"/>
          <w:sz w:val="18"/>
          <w:szCs w:val="18"/>
        </w:rPr>
      </w:pPr>
    </w:p>
    <w:p w14:paraId="256F877D" w14:textId="77777777" w:rsidR="00292689" w:rsidRPr="001050EA" w:rsidRDefault="00292689" w:rsidP="00DB4ABA">
      <w:pPr>
        <w:pStyle w:val="Textoindependiente"/>
        <w:tabs>
          <w:tab w:val="num" w:pos="284"/>
        </w:tabs>
        <w:ind w:left="284"/>
        <w:rPr>
          <w:spacing w:val="0"/>
          <w:sz w:val="18"/>
          <w:szCs w:val="18"/>
        </w:rPr>
      </w:pPr>
      <w:r w:rsidRPr="001050EA">
        <w:rPr>
          <w:spacing w:val="0"/>
          <w:sz w:val="18"/>
          <w:szCs w:val="18"/>
        </w:rPr>
        <w:t>Estos impactos se calculan aplicando a la volatilidad del valor subyacente asociado un cambio de 25% positivo o negativo según sea la posición (corta o larga), sobre el factor vega correspondiente.</w:t>
      </w:r>
    </w:p>
    <w:p w14:paraId="42AD9323" w14:textId="77777777" w:rsidR="00292689" w:rsidRPr="001050EA" w:rsidRDefault="00292689" w:rsidP="00DB4ABA">
      <w:pPr>
        <w:pStyle w:val="Textoindependiente"/>
        <w:tabs>
          <w:tab w:val="num" w:pos="284"/>
        </w:tabs>
        <w:ind w:left="284"/>
        <w:rPr>
          <w:spacing w:val="0"/>
          <w:sz w:val="18"/>
          <w:szCs w:val="18"/>
        </w:rPr>
      </w:pPr>
    </w:p>
    <w:p w14:paraId="17F28B0F" w14:textId="77777777" w:rsidR="00DE77A7" w:rsidRPr="001050EA" w:rsidRDefault="00292689" w:rsidP="00DB4ABA">
      <w:pPr>
        <w:pStyle w:val="Textoindependiente"/>
        <w:tabs>
          <w:tab w:val="num" w:pos="284"/>
        </w:tabs>
        <w:ind w:left="284"/>
        <w:rPr>
          <w:spacing w:val="0"/>
          <w:sz w:val="18"/>
          <w:szCs w:val="18"/>
        </w:rPr>
      </w:pPr>
      <w:r w:rsidRPr="001050EA">
        <w:rPr>
          <w:spacing w:val="0"/>
          <w:sz w:val="18"/>
          <w:szCs w:val="18"/>
        </w:rPr>
        <w:t>El factor vega correspondiente mide el cambio del valor de la opción ante un cambio unitario en la volatilidad del valor del instrumento subyacente.</w:t>
      </w:r>
    </w:p>
    <w:p w14:paraId="4ECD7871" w14:textId="77777777" w:rsidR="00DE77A7" w:rsidRPr="001050EA" w:rsidRDefault="00DE77A7" w:rsidP="00DB4ABA">
      <w:pPr>
        <w:pStyle w:val="Textoindependiente"/>
        <w:tabs>
          <w:tab w:val="num" w:pos="284"/>
        </w:tabs>
        <w:ind w:left="284"/>
        <w:rPr>
          <w:spacing w:val="0"/>
          <w:sz w:val="18"/>
          <w:szCs w:val="18"/>
        </w:rPr>
      </w:pPr>
    </w:p>
    <w:p w14:paraId="3B927785" w14:textId="240E5DF4" w:rsidR="00292689" w:rsidRPr="001050EA" w:rsidRDefault="00292689" w:rsidP="00C217D9">
      <w:pPr>
        <w:pStyle w:val="Textoindependiente"/>
        <w:tabs>
          <w:tab w:val="num" w:pos="284"/>
        </w:tabs>
        <w:rPr>
          <w:spacing w:val="0"/>
          <w:sz w:val="18"/>
          <w:szCs w:val="18"/>
        </w:rPr>
      </w:pPr>
      <w:r w:rsidRPr="001050EA">
        <w:rPr>
          <w:spacing w:val="0"/>
          <w:sz w:val="18"/>
          <w:szCs w:val="18"/>
        </w:rPr>
        <w:t xml:space="preserve">Para el cálculo de los factores de sensibilidad delta, gamma y vega, así como de las volatilidades de los subyacentes que se utilicen en el cálculo del riesgo vega, las instituciones financieras deben aplicar metodologías concordantes con los modelos para la valoración de dichos instrumentos, </w:t>
      </w:r>
      <w:r w:rsidR="00A64C93" w:rsidRPr="001050EA">
        <w:rPr>
          <w:spacing w:val="0"/>
          <w:sz w:val="18"/>
          <w:szCs w:val="18"/>
        </w:rPr>
        <w:t>de acuerdo con</w:t>
      </w:r>
      <w:r w:rsidRPr="001050EA">
        <w:rPr>
          <w:spacing w:val="0"/>
          <w:sz w:val="18"/>
          <w:szCs w:val="18"/>
        </w:rPr>
        <w:t xml:space="preserve"> lo estipulado en el Capítulo XVIII de la </w:t>
      </w:r>
      <w:r w:rsidR="00903F31" w:rsidRPr="001050EA">
        <w:rPr>
          <w:spacing w:val="0"/>
          <w:sz w:val="18"/>
          <w:szCs w:val="18"/>
        </w:rPr>
        <w:t>CBCF</w:t>
      </w:r>
      <w:r w:rsidRPr="001050EA">
        <w:rPr>
          <w:spacing w:val="0"/>
          <w:sz w:val="18"/>
          <w:szCs w:val="18"/>
        </w:rPr>
        <w:t>.</w:t>
      </w:r>
    </w:p>
    <w:p w14:paraId="7CFFF571" w14:textId="77777777" w:rsidR="00292689" w:rsidRPr="001050EA" w:rsidRDefault="00292689" w:rsidP="00830C68">
      <w:pPr>
        <w:pStyle w:val="Textoindependiente"/>
        <w:ind w:firstLine="708"/>
        <w:rPr>
          <w:b/>
          <w:bCs/>
          <w:spacing w:val="0"/>
          <w:sz w:val="18"/>
          <w:szCs w:val="18"/>
        </w:rPr>
      </w:pPr>
    </w:p>
    <w:p w14:paraId="08B0BA1D" w14:textId="68CC895B" w:rsidR="00271D24" w:rsidRPr="001050EA" w:rsidRDefault="00775E8A" w:rsidP="00830C68">
      <w:pPr>
        <w:pStyle w:val="Textoindependiente"/>
        <w:numPr>
          <w:ilvl w:val="2"/>
          <w:numId w:val="24"/>
        </w:numPr>
        <w:rPr>
          <w:spacing w:val="0"/>
          <w:sz w:val="18"/>
          <w:szCs w:val="18"/>
        </w:rPr>
      </w:pPr>
      <w:r w:rsidRPr="001050EA">
        <w:rPr>
          <w:spacing w:val="0"/>
          <w:sz w:val="18"/>
          <w:szCs w:val="18"/>
          <w:lang w:val="es-ES"/>
        </w:rPr>
        <w:t xml:space="preserve">Riesgo de </w:t>
      </w:r>
      <w:r w:rsidRPr="001050EA">
        <w:rPr>
          <w:i/>
          <w:iCs/>
          <w:spacing w:val="0"/>
          <w:sz w:val="18"/>
          <w:szCs w:val="18"/>
          <w:lang w:val="es-ES"/>
        </w:rPr>
        <w:t>credit default swaps</w:t>
      </w:r>
    </w:p>
    <w:p w14:paraId="09BE5874" w14:textId="66541F4C" w:rsidR="00775E8A" w:rsidRPr="001050EA" w:rsidRDefault="00775E8A" w:rsidP="00830C68">
      <w:pPr>
        <w:pStyle w:val="Textoindependiente"/>
        <w:ind w:firstLine="708"/>
        <w:rPr>
          <w:i/>
          <w:iCs/>
          <w:spacing w:val="0"/>
          <w:sz w:val="18"/>
          <w:szCs w:val="18"/>
          <w:lang w:val="es-ES"/>
        </w:rPr>
      </w:pPr>
    </w:p>
    <w:p w14:paraId="4441998D" w14:textId="74E17B84" w:rsidR="00775E8A" w:rsidRPr="001050EA" w:rsidRDefault="001D51E7" w:rsidP="00830C68">
      <w:pPr>
        <w:pStyle w:val="Textoindependiente"/>
        <w:rPr>
          <w:spacing w:val="0"/>
          <w:sz w:val="18"/>
          <w:szCs w:val="18"/>
          <w:lang w:val="es-ES"/>
        </w:rPr>
      </w:pPr>
      <w:r w:rsidRPr="001050EA">
        <w:rPr>
          <w:spacing w:val="0"/>
          <w:sz w:val="18"/>
          <w:szCs w:val="18"/>
          <w:lang w:val="es-ES"/>
        </w:rPr>
        <w:t xml:space="preserve">Para las operaciones de </w:t>
      </w:r>
      <w:r w:rsidR="001656EE" w:rsidRPr="001050EA">
        <w:rPr>
          <w:spacing w:val="0"/>
          <w:sz w:val="18"/>
          <w:szCs w:val="18"/>
          <w:lang w:val="es-ES"/>
        </w:rPr>
        <w:t>CDS</w:t>
      </w:r>
      <w:r w:rsidRPr="001050EA">
        <w:rPr>
          <w:spacing w:val="0"/>
          <w:sz w:val="18"/>
          <w:szCs w:val="18"/>
          <w:lang w:val="es-ES"/>
        </w:rPr>
        <w:t xml:space="preserve">, el cálculo del riesgo busca capturar el riesgo asociado a movimientos adversos en el valor razonable de los CDS, y corresponde a la suma de las posiciones netas ponderadas en cada operación de </w:t>
      </w:r>
      <w:r w:rsidRPr="001050EA">
        <w:rPr>
          <w:i/>
          <w:iCs/>
          <w:spacing w:val="0"/>
          <w:sz w:val="18"/>
          <w:szCs w:val="18"/>
          <w:lang w:val="es-ES"/>
        </w:rPr>
        <w:t>credit default swaps</w:t>
      </w:r>
      <w:r w:rsidRPr="001050EA">
        <w:rPr>
          <w:spacing w:val="0"/>
          <w:sz w:val="18"/>
          <w:szCs w:val="18"/>
          <w:lang w:val="es-ES"/>
        </w:rPr>
        <w:t>. La posición neta ponderada corresponde al producto de:</w:t>
      </w:r>
    </w:p>
    <w:p w14:paraId="2840C50B" w14:textId="57D40D16" w:rsidR="001D51E7" w:rsidRPr="001050EA" w:rsidRDefault="001D51E7" w:rsidP="00830C68">
      <w:pPr>
        <w:pStyle w:val="Textoindependiente"/>
        <w:rPr>
          <w:spacing w:val="0"/>
          <w:sz w:val="18"/>
          <w:szCs w:val="18"/>
          <w:lang w:val="es-ES"/>
        </w:rPr>
      </w:pPr>
    </w:p>
    <w:p w14:paraId="29E5377E" w14:textId="72956E42" w:rsidR="00720C81" w:rsidRPr="001050EA" w:rsidRDefault="00720C81" w:rsidP="007B151C">
      <w:pPr>
        <w:pStyle w:val="Textoindependiente"/>
        <w:numPr>
          <w:ilvl w:val="1"/>
          <w:numId w:val="35"/>
        </w:numPr>
        <w:tabs>
          <w:tab w:val="clear" w:pos="1440"/>
          <w:tab w:val="num" w:pos="284"/>
        </w:tabs>
        <w:ind w:left="284" w:hanging="284"/>
        <w:rPr>
          <w:spacing w:val="0"/>
          <w:sz w:val="18"/>
          <w:szCs w:val="18"/>
          <w:lang w:val="es-ES"/>
        </w:rPr>
      </w:pPr>
      <w:r w:rsidRPr="001050EA">
        <w:rPr>
          <w:spacing w:val="0"/>
          <w:sz w:val="18"/>
          <w:szCs w:val="18"/>
          <w:lang w:val="es-ES"/>
        </w:rPr>
        <w:t>La posición neta de cada CDS.</w:t>
      </w:r>
    </w:p>
    <w:p w14:paraId="5FB30A0D" w14:textId="77777777" w:rsidR="009201E2" w:rsidRPr="001050EA" w:rsidRDefault="009201E2" w:rsidP="007B151C">
      <w:pPr>
        <w:pStyle w:val="Textoindependiente"/>
        <w:tabs>
          <w:tab w:val="num" w:pos="284"/>
        </w:tabs>
        <w:ind w:left="284" w:hanging="284"/>
        <w:rPr>
          <w:spacing w:val="0"/>
          <w:sz w:val="18"/>
          <w:szCs w:val="18"/>
          <w:lang w:val="es-ES"/>
        </w:rPr>
      </w:pPr>
    </w:p>
    <w:p w14:paraId="7D06F9E0" w14:textId="598EA06F" w:rsidR="001D51E7" w:rsidRPr="001050EA" w:rsidRDefault="00720C81" w:rsidP="007B151C">
      <w:pPr>
        <w:pStyle w:val="Textoindependiente"/>
        <w:tabs>
          <w:tab w:val="num" w:pos="284"/>
        </w:tabs>
        <w:ind w:left="284" w:hanging="284"/>
        <w:rPr>
          <w:spacing w:val="0"/>
          <w:sz w:val="18"/>
          <w:szCs w:val="18"/>
          <w:lang w:val="es-ES"/>
        </w:rPr>
      </w:pPr>
      <w:r w:rsidRPr="001050EA">
        <w:rPr>
          <w:spacing w:val="0"/>
          <w:sz w:val="18"/>
          <w:szCs w:val="18"/>
          <w:lang w:val="es-ES"/>
        </w:rPr>
        <w:t>b.</w:t>
      </w:r>
      <w:r w:rsidRPr="001050EA">
        <w:rPr>
          <w:spacing w:val="0"/>
          <w:sz w:val="18"/>
          <w:szCs w:val="18"/>
          <w:lang w:val="es-ES"/>
        </w:rPr>
        <w:tab/>
        <w:t>El factor de sensibilidad al riesgo general de los CDS publicado por la SFC.</w:t>
      </w:r>
    </w:p>
    <w:p w14:paraId="2C08DF8A" w14:textId="2F03CA45" w:rsidR="00775E8A" w:rsidRPr="001050EA" w:rsidRDefault="00775E8A" w:rsidP="00830C68">
      <w:pPr>
        <w:pStyle w:val="Textoindependiente"/>
        <w:ind w:firstLine="708"/>
        <w:rPr>
          <w:spacing w:val="0"/>
          <w:sz w:val="18"/>
          <w:szCs w:val="18"/>
        </w:rPr>
      </w:pPr>
    </w:p>
    <w:p w14:paraId="3F739108" w14:textId="4F8FC330" w:rsidR="009201E2" w:rsidRPr="001050EA" w:rsidRDefault="009201E2" w:rsidP="00830C68">
      <w:pPr>
        <w:pStyle w:val="Textoindependiente"/>
        <w:ind w:firstLine="708"/>
        <w:rPr>
          <w:spacing w:val="0"/>
          <w:sz w:val="18"/>
          <w:szCs w:val="18"/>
        </w:rPr>
      </w:pPr>
    </w:p>
    <w:p w14:paraId="593FD5C3" w14:textId="77777777" w:rsidR="009201E2" w:rsidRPr="001050EA" w:rsidRDefault="009201E2" w:rsidP="00830C68">
      <w:pPr>
        <w:pStyle w:val="Textoindependiente"/>
        <w:ind w:firstLine="708"/>
        <w:rPr>
          <w:spacing w:val="0"/>
          <w:sz w:val="18"/>
          <w:szCs w:val="18"/>
        </w:rPr>
      </w:pPr>
    </w:p>
    <w:p w14:paraId="0277DEE0" w14:textId="01ADEED9" w:rsidR="00292689" w:rsidRPr="001050EA" w:rsidRDefault="00292689" w:rsidP="00830C68">
      <w:pPr>
        <w:pStyle w:val="Textoindependiente"/>
        <w:numPr>
          <w:ilvl w:val="2"/>
          <w:numId w:val="24"/>
        </w:numPr>
        <w:rPr>
          <w:bCs/>
          <w:spacing w:val="0"/>
          <w:sz w:val="18"/>
          <w:szCs w:val="18"/>
        </w:rPr>
      </w:pPr>
      <w:r w:rsidRPr="001050EA">
        <w:rPr>
          <w:bCs/>
          <w:spacing w:val="0"/>
          <w:sz w:val="18"/>
          <w:szCs w:val="18"/>
        </w:rPr>
        <w:t>Cálculo exposición total a los riesgos de mercado con el modelo estándar.</w:t>
      </w:r>
    </w:p>
    <w:p w14:paraId="4BADDD5D" w14:textId="77777777" w:rsidR="00292689" w:rsidRPr="001050EA" w:rsidRDefault="00292689" w:rsidP="00830C68">
      <w:pPr>
        <w:pStyle w:val="Textoindependiente"/>
        <w:rPr>
          <w:b/>
          <w:bCs/>
          <w:spacing w:val="0"/>
          <w:sz w:val="18"/>
          <w:szCs w:val="18"/>
        </w:rPr>
      </w:pPr>
    </w:p>
    <w:p w14:paraId="68121625" w14:textId="1500B358" w:rsidR="00292689" w:rsidRPr="001050EA" w:rsidRDefault="00292689" w:rsidP="00830C68">
      <w:pPr>
        <w:pStyle w:val="Textoindependiente"/>
        <w:rPr>
          <w:spacing w:val="0"/>
          <w:sz w:val="18"/>
          <w:szCs w:val="18"/>
        </w:rPr>
      </w:pPr>
      <w:r w:rsidRPr="001050EA">
        <w:rPr>
          <w:spacing w:val="0"/>
          <w:sz w:val="18"/>
          <w:szCs w:val="18"/>
        </w:rPr>
        <w:t xml:space="preserve">Con el fin de calcular la exposición total a los riesgos de mercado, las entidades a que hace referencia el presente </w:t>
      </w:r>
      <w:r w:rsidR="00ED4A43" w:rsidRPr="001050EA">
        <w:rPr>
          <w:spacing w:val="0"/>
          <w:sz w:val="18"/>
          <w:szCs w:val="18"/>
        </w:rPr>
        <w:t>sub</w:t>
      </w:r>
      <w:r w:rsidRPr="001050EA">
        <w:rPr>
          <w:spacing w:val="0"/>
          <w:sz w:val="18"/>
          <w:szCs w:val="18"/>
        </w:rPr>
        <w:t xml:space="preserve">numeral deben sumar las exposiciones obtenidas para cada uno de los módulos de la metodología estandarizada, </w:t>
      </w:r>
      <w:r w:rsidR="00A64C93" w:rsidRPr="001050EA">
        <w:rPr>
          <w:spacing w:val="0"/>
          <w:sz w:val="18"/>
          <w:szCs w:val="18"/>
        </w:rPr>
        <w:t>de acuerdo con</w:t>
      </w:r>
      <w:r w:rsidRPr="001050EA">
        <w:rPr>
          <w:spacing w:val="0"/>
          <w:sz w:val="18"/>
          <w:szCs w:val="18"/>
        </w:rPr>
        <w:t xml:space="preserve"> lo descrito en los subnumerales 2.1.2 a 2.1.5</w:t>
      </w:r>
      <w:r w:rsidR="001E33EB" w:rsidRPr="001050EA">
        <w:rPr>
          <w:spacing w:val="0"/>
          <w:sz w:val="18"/>
          <w:szCs w:val="18"/>
        </w:rPr>
        <w:t xml:space="preserve"> y 2.1.7</w:t>
      </w:r>
      <w:r w:rsidR="001B6F4B" w:rsidRPr="001050EA">
        <w:rPr>
          <w:spacing w:val="0"/>
          <w:sz w:val="18"/>
          <w:szCs w:val="18"/>
        </w:rPr>
        <w:t xml:space="preserve"> del presente Anexo</w:t>
      </w:r>
      <w:r w:rsidRPr="001050EA">
        <w:rPr>
          <w:spacing w:val="0"/>
          <w:sz w:val="18"/>
          <w:szCs w:val="18"/>
        </w:rPr>
        <w:t>.</w:t>
      </w:r>
    </w:p>
    <w:p w14:paraId="18E886B9" w14:textId="77777777" w:rsidR="00292689" w:rsidRPr="001050EA" w:rsidRDefault="00292689" w:rsidP="00830C68">
      <w:pPr>
        <w:pStyle w:val="Textoindependiente"/>
        <w:rPr>
          <w:sz w:val="18"/>
          <w:szCs w:val="18"/>
        </w:rPr>
      </w:pPr>
    </w:p>
    <w:p w14:paraId="2B8535A9" w14:textId="0E83EE0D" w:rsidR="00292689" w:rsidRPr="001050EA" w:rsidRDefault="00292689" w:rsidP="00830C68">
      <w:pPr>
        <w:pStyle w:val="Textoindependiente"/>
        <w:rPr>
          <w:spacing w:val="0"/>
          <w:sz w:val="18"/>
          <w:szCs w:val="18"/>
        </w:rPr>
      </w:pPr>
      <w:r w:rsidRPr="001050EA">
        <w:rPr>
          <w:spacing w:val="0"/>
          <w:sz w:val="18"/>
          <w:szCs w:val="18"/>
        </w:rPr>
        <w:t xml:space="preserve">El monto obtenido siguiendo este procedimiento, corresponde a los riesgos de mercado aplicables al cálculo de la relación de solvencia de los </w:t>
      </w:r>
      <w:r w:rsidR="0024376A" w:rsidRPr="001050EA">
        <w:rPr>
          <w:spacing w:val="0"/>
          <w:sz w:val="18"/>
          <w:szCs w:val="18"/>
        </w:rPr>
        <w:t>EC</w:t>
      </w:r>
      <w:r w:rsidRPr="001050EA">
        <w:rPr>
          <w:spacing w:val="0"/>
          <w:sz w:val="18"/>
          <w:szCs w:val="18"/>
        </w:rPr>
        <w:t xml:space="preserve"> </w:t>
      </w:r>
      <w:r w:rsidR="00A64C93" w:rsidRPr="001050EA">
        <w:rPr>
          <w:spacing w:val="0"/>
          <w:sz w:val="18"/>
          <w:szCs w:val="18"/>
        </w:rPr>
        <w:t>de acuerdo con</w:t>
      </w:r>
      <w:r w:rsidRPr="001050EA">
        <w:rPr>
          <w:spacing w:val="0"/>
          <w:sz w:val="18"/>
          <w:szCs w:val="18"/>
        </w:rPr>
        <w:t xml:space="preserve"> lo estipulado en el Artículo </w:t>
      </w:r>
      <w:r w:rsidRPr="001050EA">
        <w:rPr>
          <w:sz w:val="18"/>
          <w:szCs w:val="18"/>
        </w:rPr>
        <w:t>2.1.1.1.2 del Decreto 2555 de 2010 o</w:t>
      </w:r>
      <w:r w:rsidRPr="001050EA">
        <w:rPr>
          <w:spacing w:val="0"/>
          <w:sz w:val="18"/>
          <w:szCs w:val="18"/>
        </w:rPr>
        <w:t xml:space="preserve"> demás normas que lo sustituyan, modifiquen o subroguen. De forma análoga, el valor obtenido computa en la relación de solvencia de las </w:t>
      </w:r>
      <w:r w:rsidR="0024376A" w:rsidRPr="001050EA">
        <w:rPr>
          <w:spacing w:val="0"/>
          <w:sz w:val="18"/>
          <w:szCs w:val="18"/>
        </w:rPr>
        <w:t>SCBV</w:t>
      </w:r>
      <w:r w:rsidRPr="001050EA">
        <w:rPr>
          <w:spacing w:val="0"/>
          <w:sz w:val="18"/>
          <w:szCs w:val="18"/>
        </w:rPr>
        <w:t xml:space="preserve"> de acuerdo con lo estipulado en el artículo</w:t>
      </w:r>
      <w:r w:rsidRPr="001050EA">
        <w:rPr>
          <w:sz w:val="18"/>
          <w:szCs w:val="18"/>
        </w:rPr>
        <w:t xml:space="preserve"> 2.9.1.1.2</w:t>
      </w:r>
      <w:r w:rsidRPr="001050EA">
        <w:rPr>
          <w:spacing w:val="0"/>
          <w:sz w:val="18"/>
          <w:szCs w:val="18"/>
        </w:rPr>
        <w:t xml:space="preserve"> </w:t>
      </w:r>
      <w:r w:rsidRPr="001050EA">
        <w:rPr>
          <w:sz w:val="18"/>
          <w:szCs w:val="18"/>
        </w:rPr>
        <w:t>del Decreto 2555 de 2010</w:t>
      </w:r>
      <w:r w:rsidRPr="001050EA">
        <w:rPr>
          <w:spacing w:val="0"/>
          <w:sz w:val="18"/>
          <w:szCs w:val="18"/>
        </w:rPr>
        <w:t xml:space="preserve"> o demás normas que lo sustituyan, modifiquen o subroguen. </w:t>
      </w:r>
    </w:p>
    <w:p w14:paraId="30684EB1" w14:textId="77777777" w:rsidR="00292689" w:rsidRPr="001050EA" w:rsidRDefault="00292689" w:rsidP="00830C68">
      <w:pPr>
        <w:pStyle w:val="Textoindependiente"/>
        <w:rPr>
          <w:spacing w:val="0"/>
          <w:sz w:val="18"/>
          <w:szCs w:val="18"/>
        </w:rPr>
      </w:pPr>
    </w:p>
    <w:p w14:paraId="2C9F9BEB" w14:textId="36F014BA" w:rsidR="00292689" w:rsidRPr="001050EA" w:rsidRDefault="00292689" w:rsidP="009F7EF0">
      <w:pPr>
        <w:pStyle w:val="Normal9pt"/>
        <w:numPr>
          <w:ilvl w:val="1"/>
          <w:numId w:val="36"/>
        </w:numPr>
        <w:ind w:left="0" w:firstLine="0"/>
        <w:rPr>
          <w:b/>
          <w:bCs/>
        </w:rPr>
      </w:pPr>
      <w:r w:rsidRPr="001050EA">
        <w:rPr>
          <w:b/>
          <w:bCs/>
        </w:rPr>
        <w:t xml:space="preserve">Reglas relativas a la medición de riesgos de mercado a través de modelos internos para </w:t>
      </w:r>
      <w:r w:rsidR="0024376A" w:rsidRPr="001050EA">
        <w:rPr>
          <w:b/>
          <w:bCs/>
        </w:rPr>
        <w:t>EC</w:t>
      </w:r>
      <w:r w:rsidRPr="001050EA">
        <w:rPr>
          <w:b/>
          <w:bCs/>
        </w:rPr>
        <w:t xml:space="preserve">, </w:t>
      </w:r>
      <w:r w:rsidR="000C31CD" w:rsidRPr="001050EA">
        <w:rPr>
          <w:b/>
          <w:bCs/>
        </w:rPr>
        <w:t xml:space="preserve">organismos cooperativos de grado superior, </w:t>
      </w:r>
      <w:r w:rsidR="0024376A" w:rsidRPr="001050EA">
        <w:rPr>
          <w:b/>
          <w:bCs/>
        </w:rPr>
        <w:t>IOEs</w:t>
      </w:r>
      <w:r w:rsidRPr="001050EA">
        <w:rPr>
          <w:b/>
          <w:bCs/>
        </w:rPr>
        <w:t xml:space="preserve"> y </w:t>
      </w:r>
      <w:r w:rsidR="0024376A" w:rsidRPr="001050EA">
        <w:rPr>
          <w:b/>
          <w:bCs/>
        </w:rPr>
        <w:t>SCBV</w:t>
      </w:r>
    </w:p>
    <w:p w14:paraId="022D4205" w14:textId="77777777" w:rsidR="00292689" w:rsidRPr="001050EA" w:rsidRDefault="00292689" w:rsidP="00830C68">
      <w:pPr>
        <w:pStyle w:val="Textoindependiente"/>
        <w:rPr>
          <w:b/>
          <w:bCs/>
          <w:spacing w:val="0"/>
          <w:sz w:val="18"/>
          <w:szCs w:val="18"/>
        </w:rPr>
      </w:pPr>
    </w:p>
    <w:p w14:paraId="1D4A5D69" w14:textId="32EA0601" w:rsidR="00292689" w:rsidRPr="001050EA" w:rsidRDefault="00292689" w:rsidP="00830C68">
      <w:pPr>
        <w:pStyle w:val="Textoindependiente"/>
        <w:rPr>
          <w:spacing w:val="0"/>
          <w:sz w:val="18"/>
          <w:szCs w:val="18"/>
          <w:lang w:val="es-ES_tradnl"/>
        </w:rPr>
      </w:pPr>
      <w:r w:rsidRPr="001050EA">
        <w:rPr>
          <w:spacing w:val="0"/>
          <w:sz w:val="18"/>
          <w:szCs w:val="18"/>
        </w:rPr>
        <w:t xml:space="preserve">Los </w:t>
      </w:r>
      <w:r w:rsidR="0024376A" w:rsidRPr="001050EA">
        <w:rPr>
          <w:spacing w:val="0"/>
          <w:sz w:val="18"/>
          <w:szCs w:val="18"/>
        </w:rPr>
        <w:t>EC</w:t>
      </w:r>
      <w:r w:rsidRPr="001050EA">
        <w:rPr>
          <w:bCs/>
          <w:spacing w:val="0"/>
          <w:sz w:val="18"/>
          <w:szCs w:val="18"/>
        </w:rPr>
        <w:t xml:space="preserve">, las </w:t>
      </w:r>
      <w:r w:rsidR="0024376A" w:rsidRPr="001050EA">
        <w:rPr>
          <w:bCs/>
          <w:spacing w:val="0"/>
          <w:sz w:val="18"/>
          <w:szCs w:val="18"/>
        </w:rPr>
        <w:t>IOEs</w:t>
      </w:r>
      <w:r w:rsidRPr="001050EA">
        <w:rPr>
          <w:spacing w:val="0"/>
          <w:sz w:val="18"/>
          <w:szCs w:val="18"/>
        </w:rPr>
        <w:t xml:space="preserve"> y las </w:t>
      </w:r>
      <w:r w:rsidR="0024376A" w:rsidRPr="001050EA">
        <w:rPr>
          <w:spacing w:val="0"/>
          <w:sz w:val="18"/>
          <w:szCs w:val="18"/>
        </w:rPr>
        <w:t>SCBV</w:t>
      </w:r>
      <w:r w:rsidRPr="001050EA">
        <w:rPr>
          <w:spacing w:val="0"/>
          <w:sz w:val="18"/>
          <w:szCs w:val="18"/>
          <w:lang w:val="es-ES_tradnl"/>
        </w:rPr>
        <w:t xml:space="preserve"> quienes de acuerdo con lo señalado en el presente capítulo puedan adoptar modelos internos para la medición de los riesgos de mercado, deben tener en cuenta en su diseño los parámetros mínimos establecidos en el presente </w:t>
      </w:r>
      <w:r w:rsidR="00D91438" w:rsidRPr="001050EA">
        <w:rPr>
          <w:spacing w:val="0"/>
          <w:sz w:val="18"/>
          <w:szCs w:val="18"/>
          <w:lang w:val="es-ES_tradnl"/>
        </w:rPr>
        <w:t>sub</w:t>
      </w:r>
      <w:r w:rsidRPr="001050EA">
        <w:rPr>
          <w:spacing w:val="0"/>
          <w:sz w:val="18"/>
          <w:szCs w:val="18"/>
          <w:lang w:val="es-ES_tradnl"/>
        </w:rPr>
        <w:t xml:space="preserve">numeral, de acuerdo con lo establecido en el numeral </w:t>
      </w:r>
      <w:r w:rsidR="007957FA" w:rsidRPr="001050EA">
        <w:rPr>
          <w:spacing w:val="0"/>
          <w:sz w:val="18"/>
          <w:szCs w:val="18"/>
          <w:lang w:val="es-ES_tradnl"/>
        </w:rPr>
        <w:t>3 de la Parte III</w:t>
      </w:r>
      <w:r w:rsidRPr="001050EA">
        <w:rPr>
          <w:spacing w:val="0"/>
          <w:sz w:val="18"/>
          <w:szCs w:val="18"/>
          <w:lang w:val="es-ES_tradnl"/>
        </w:rPr>
        <w:t xml:space="preserve"> del presente</w:t>
      </w:r>
      <w:r w:rsidR="00B23A8C" w:rsidRPr="001050EA">
        <w:rPr>
          <w:spacing w:val="0"/>
          <w:sz w:val="18"/>
          <w:szCs w:val="18"/>
          <w:lang w:val="es-ES_tradnl"/>
        </w:rPr>
        <w:t xml:space="preserve"> </w:t>
      </w:r>
      <w:r w:rsidR="00BF5CDB" w:rsidRPr="001050EA">
        <w:rPr>
          <w:spacing w:val="0"/>
          <w:sz w:val="18"/>
          <w:szCs w:val="18"/>
          <w:lang w:val="es-ES_tradnl"/>
        </w:rPr>
        <w:t>A</w:t>
      </w:r>
      <w:r w:rsidR="00B23A8C" w:rsidRPr="001050EA">
        <w:rPr>
          <w:spacing w:val="0"/>
          <w:sz w:val="18"/>
          <w:szCs w:val="18"/>
          <w:lang w:val="es-ES_tradnl"/>
        </w:rPr>
        <w:t>nexo</w:t>
      </w:r>
      <w:r w:rsidRPr="001050EA">
        <w:rPr>
          <w:spacing w:val="0"/>
          <w:sz w:val="18"/>
          <w:szCs w:val="18"/>
          <w:lang w:val="es-ES_tradnl"/>
        </w:rPr>
        <w:t>.</w:t>
      </w:r>
    </w:p>
    <w:p w14:paraId="48EE4356" w14:textId="77777777" w:rsidR="007957FA" w:rsidRPr="001050EA" w:rsidRDefault="007957FA" w:rsidP="00830C68">
      <w:pPr>
        <w:pStyle w:val="Textoindependiente"/>
        <w:rPr>
          <w:spacing w:val="0"/>
          <w:sz w:val="18"/>
          <w:szCs w:val="18"/>
          <w:lang w:val="es-ES_tradnl"/>
        </w:rPr>
      </w:pPr>
    </w:p>
    <w:p w14:paraId="779A21F1" w14:textId="56F51686" w:rsidR="00922FD1" w:rsidRPr="001050EA" w:rsidRDefault="00922FD1" w:rsidP="00830C68">
      <w:pPr>
        <w:pStyle w:val="Textoindependiente"/>
        <w:rPr>
          <w:spacing w:val="0"/>
          <w:sz w:val="18"/>
          <w:szCs w:val="18"/>
          <w:lang w:val="es-ES_tradnl"/>
        </w:rPr>
      </w:pPr>
      <w:r w:rsidRPr="001050EA">
        <w:rPr>
          <w:spacing w:val="0"/>
          <w:sz w:val="18"/>
          <w:szCs w:val="18"/>
          <w:lang w:val="es-ES_tradnl"/>
        </w:rPr>
        <w:t xml:space="preserve">En todo caso, hasta tanto no cuenten con </w:t>
      </w:r>
      <w:r w:rsidR="000A4AF0" w:rsidRPr="001050EA">
        <w:rPr>
          <w:spacing w:val="0"/>
          <w:sz w:val="18"/>
          <w:szCs w:val="18"/>
          <w:lang w:val="es-ES_tradnl"/>
        </w:rPr>
        <w:t xml:space="preserve">el pronunciamiento de no objeción de los </w:t>
      </w:r>
      <w:r w:rsidRPr="001050EA">
        <w:rPr>
          <w:spacing w:val="0"/>
          <w:sz w:val="18"/>
          <w:szCs w:val="18"/>
          <w:lang w:val="es-ES_tradnl"/>
        </w:rPr>
        <w:t>modelos internos</w:t>
      </w:r>
      <w:r w:rsidR="001C091F" w:rsidRPr="001050EA">
        <w:rPr>
          <w:spacing w:val="0"/>
          <w:sz w:val="18"/>
          <w:szCs w:val="18"/>
          <w:lang w:val="es-ES_tradnl"/>
        </w:rPr>
        <w:t xml:space="preserve"> presentados a la SFC</w:t>
      </w:r>
      <w:r w:rsidRPr="001050EA">
        <w:rPr>
          <w:spacing w:val="0"/>
          <w:sz w:val="18"/>
          <w:szCs w:val="18"/>
          <w:lang w:val="es-ES_tradnl"/>
        </w:rPr>
        <w:t>, tales entidades deben utilizar el modelo estándar para la medición de sus exposiciones a los riesgos de mercado.</w:t>
      </w:r>
    </w:p>
    <w:p w14:paraId="6F15035F" w14:textId="77777777" w:rsidR="00922FD1" w:rsidRPr="001050EA" w:rsidRDefault="00922FD1" w:rsidP="00830C68">
      <w:pPr>
        <w:pStyle w:val="Textoindependiente"/>
        <w:rPr>
          <w:spacing w:val="0"/>
          <w:sz w:val="18"/>
          <w:szCs w:val="18"/>
          <w:lang w:val="es-ES_tradnl"/>
        </w:rPr>
      </w:pPr>
    </w:p>
    <w:p w14:paraId="142F5836" w14:textId="77777777" w:rsidR="00922FD1" w:rsidRPr="001050EA" w:rsidRDefault="00922FD1" w:rsidP="00830C68">
      <w:pPr>
        <w:pStyle w:val="Textoindependiente"/>
        <w:rPr>
          <w:spacing w:val="0"/>
          <w:sz w:val="18"/>
          <w:szCs w:val="18"/>
        </w:rPr>
      </w:pPr>
      <w:r w:rsidRPr="001050EA">
        <w:rPr>
          <w:spacing w:val="0"/>
          <w:sz w:val="18"/>
          <w:szCs w:val="18"/>
        </w:rPr>
        <w:t>Sin perjuicio de lo anterior, todas las entidades a que se refiere este numeral deben estar en capacidad de reportar el valor que resultaría de calcular la exposición a riesgos de mercado utilizando la metodología estandarizada.</w:t>
      </w:r>
    </w:p>
    <w:p w14:paraId="04EA09F9" w14:textId="77777777" w:rsidR="00DE7CA0" w:rsidRPr="001050EA" w:rsidRDefault="00DE7CA0" w:rsidP="00830C68">
      <w:pPr>
        <w:pStyle w:val="Textoindependiente"/>
        <w:rPr>
          <w:spacing w:val="0"/>
          <w:sz w:val="18"/>
          <w:szCs w:val="18"/>
        </w:rPr>
      </w:pPr>
    </w:p>
    <w:p w14:paraId="35F22AEA" w14:textId="08439B3F" w:rsidR="00EA1EBA" w:rsidRPr="001050EA" w:rsidRDefault="004571F6" w:rsidP="00830C68">
      <w:pPr>
        <w:pStyle w:val="Normal9pt"/>
        <w:numPr>
          <w:ilvl w:val="0"/>
          <w:numId w:val="19"/>
        </w:numPr>
        <w:tabs>
          <w:tab w:val="clear" w:pos="720"/>
          <w:tab w:val="num" w:pos="360"/>
        </w:tabs>
        <w:ind w:left="0" w:firstLine="0"/>
        <w:rPr>
          <w:b/>
          <w:bCs/>
        </w:rPr>
      </w:pPr>
      <w:r w:rsidRPr="001050EA">
        <w:rPr>
          <w:b/>
          <w:bCs/>
        </w:rPr>
        <w:t>Reglas relativas a los reportes de información</w:t>
      </w:r>
    </w:p>
    <w:p w14:paraId="71EB33A1" w14:textId="77777777" w:rsidR="00DE7CA0" w:rsidRPr="001050EA" w:rsidRDefault="00DE7CA0" w:rsidP="00EA1EBA">
      <w:pPr>
        <w:pStyle w:val="Normal9pt"/>
        <w:numPr>
          <w:ilvl w:val="0"/>
          <w:numId w:val="0"/>
        </w:numPr>
      </w:pPr>
    </w:p>
    <w:p w14:paraId="67288BE4" w14:textId="77777777" w:rsidR="00DE7CA0" w:rsidRPr="00EA1EBA" w:rsidRDefault="00DE7CA0" w:rsidP="00EA1EBA">
      <w:pPr>
        <w:pStyle w:val="Normal9pt"/>
        <w:numPr>
          <w:ilvl w:val="0"/>
          <w:numId w:val="0"/>
        </w:numPr>
        <w:rPr>
          <w:b/>
          <w:bCs/>
        </w:rPr>
      </w:pPr>
      <w:r w:rsidRPr="001050EA">
        <w:rPr>
          <w:lang w:val="es-ES_tradnl"/>
        </w:rPr>
        <w:t>Los resultados de la medición de riesgos de mercado deben reportarse a la SFC con la periodicidad establecida en los formatos previstos para este propósito.</w:t>
      </w:r>
    </w:p>
    <w:p w14:paraId="218D4916" w14:textId="77777777" w:rsidR="00DE7CA0" w:rsidRPr="00AB66F8" w:rsidRDefault="00DE7CA0" w:rsidP="00AB66F8">
      <w:pPr>
        <w:pStyle w:val="Textoindependiente"/>
        <w:rPr>
          <w:spacing w:val="0"/>
          <w:sz w:val="18"/>
          <w:szCs w:val="18"/>
          <w:lang w:val="es-ES_tradnl"/>
        </w:rPr>
      </w:pPr>
    </w:p>
    <w:sectPr w:rsidR="00DE7CA0" w:rsidRPr="00AB66F8" w:rsidSect="00B346EB">
      <w:headerReference w:type="even" r:id="rId20"/>
      <w:headerReference w:type="default" r:id="rId21"/>
      <w:footerReference w:type="even" r:id="rId22"/>
      <w:footerReference w:type="default" r:id="rId23"/>
      <w:headerReference w:type="first" r:id="rId24"/>
      <w:footerReference w:type="first" r:id="rId25"/>
      <w:pgSz w:w="12242" w:h="18711" w:code="5"/>
      <w:pgMar w:top="1418" w:right="1701" w:bottom="1418" w:left="1701" w:header="1134" w:footer="1134" w:gutter="0"/>
      <w:pgBorders>
        <w:left w:val="single" w:sz="4" w:space="4" w:color="auto"/>
      </w:pgBorders>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7A25C" w14:textId="77777777" w:rsidR="00BF7563" w:rsidRDefault="00BF7563">
      <w:r>
        <w:separator/>
      </w:r>
    </w:p>
  </w:endnote>
  <w:endnote w:type="continuationSeparator" w:id="0">
    <w:p w14:paraId="2EFCBB12" w14:textId="77777777" w:rsidR="00BF7563" w:rsidRDefault="00BF7563">
      <w:r>
        <w:continuationSeparator/>
      </w:r>
    </w:p>
  </w:endnote>
  <w:endnote w:type="continuationNotice" w:id="1">
    <w:p w14:paraId="3D661127" w14:textId="77777777" w:rsidR="00BF7563" w:rsidRDefault="00BF7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F7E0" w14:textId="77777777" w:rsidR="002D22B8" w:rsidRDefault="002D22B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B3EA1" w14:textId="77777777" w:rsidR="00DE77A7" w:rsidRDefault="00DE77A7" w:rsidP="00DE77A7">
    <w:pPr>
      <w:pStyle w:val="Piedepgina"/>
      <w:jc w:val="both"/>
      <w:rPr>
        <w:rStyle w:val="Nmerodepgina"/>
        <w:rFonts w:cs="Arial"/>
        <w:b/>
        <w:bCs/>
        <w:spacing w:val="0"/>
        <w:sz w:val="20"/>
        <w:szCs w:val="20"/>
        <w:lang w:val="pt-BR"/>
      </w:rPr>
    </w:pPr>
  </w:p>
  <w:p w14:paraId="2F392135" w14:textId="30A66B2E" w:rsidR="003B3F14" w:rsidRPr="00D803B2" w:rsidRDefault="00DE77A7">
    <w:pPr>
      <w:pStyle w:val="Piedepgina"/>
      <w:rPr>
        <w:sz w:val="24"/>
      </w:rPr>
    </w:pPr>
    <w:r w:rsidRPr="00D803B2">
      <w:rPr>
        <w:rStyle w:val="Nmerodepgina"/>
        <w:rFonts w:cs="Arial"/>
        <w:b/>
        <w:bCs/>
        <w:spacing w:val="0"/>
        <w:sz w:val="18"/>
        <w:szCs w:val="20"/>
        <w:lang w:val="pt-BR"/>
      </w:rPr>
      <w:t xml:space="preserve">Circular Externa  </w:t>
    </w:r>
    <w:r w:rsidR="002D22B8">
      <w:rPr>
        <w:rStyle w:val="Nmerodepgina"/>
        <w:rFonts w:cs="Arial"/>
        <w:b/>
        <w:bCs/>
        <w:spacing w:val="0"/>
        <w:sz w:val="18"/>
        <w:szCs w:val="20"/>
        <w:lang w:val="pt-BR"/>
      </w:rPr>
      <w:t>018</w:t>
    </w:r>
    <w:r w:rsidRPr="00D803B2">
      <w:rPr>
        <w:rStyle w:val="Nmerodepgina"/>
        <w:rFonts w:cs="Arial"/>
        <w:b/>
        <w:bCs/>
        <w:spacing w:val="0"/>
        <w:sz w:val="18"/>
        <w:szCs w:val="20"/>
        <w:lang w:val="pt-BR"/>
      </w:rPr>
      <w:t xml:space="preserve">  de   20</w:t>
    </w:r>
    <w:r w:rsidR="00B27A62">
      <w:rPr>
        <w:rStyle w:val="Nmerodepgina"/>
        <w:rFonts w:cs="Arial"/>
        <w:b/>
        <w:bCs/>
        <w:spacing w:val="0"/>
        <w:sz w:val="18"/>
        <w:szCs w:val="20"/>
        <w:lang w:val="pt-BR"/>
      </w:rPr>
      <w:t>21</w:t>
    </w:r>
    <w:r w:rsidRPr="00D803B2">
      <w:rPr>
        <w:rStyle w:val="Nmerodepgina"/>
        <w:rFonts w:cs="Arial"/>
        <w:b/>
        <w:bCs/>
        <w:spacing w:val="0"/>
        <w:sz w:val="18"/>
        <w:szCs w:val="20"/>
        <w:lang w:val="pt-BR"/>
      </w:rPr>
      <w:t xml:space="preserve">            </w:t>
    </w:r>
    <w:r w:rsidR="00D803B2">
      <w:rPr>
        <w:rStyle w:val="Nmerodepgina"/>
        <w:rFonts w:cs="Arial"/>
        <w:b/>
        <w:bCs/>
        <w:spacing w:val="0"/>
        <w:sz w:val="18"/>
        <w:szCs w:val="20"/>
        <w:lang w:val="pt-BR"/>
      </w:rPr>
      <w:t xml:space="preserve">                  </w:t>
    </w:r>
    <w:r w:rsidRPr="00D803B2">
      <w:rPr>
        <w:rStyle w:val="Nmerodepgina"/>
        <w:rFonts w:cs="Arial"/>
        <w:b/>
        <w:bCs/>
        <w:spacing w:val="0"/>
        <w:sz w:val="18"/>
        <w:szCs w:val="20"/>
        <w:lang w:val="pt-BR"/>
      </w:rPr>
      <w:t xml:space="preserve">                                                           </w:t>
    </w:r>
    <w:proofErr w:type="spellStart"/>
    <w:r w:rsidR="00C3221C">
      <w:rPr>
        <w:rStyle w:val="Nmerodepgina"/>
        <w:rFonts w:cs="Arial"/>
        <w:b/>
        <w:bCs/>
        <w:spacing w:val="0"/>
        <w:sz w:val="18"/>
        <w:szCs w:val="20"/>
        <w:lang w:val="pt-BR"/>
      </w:rPr>
      <w:t>Septiembre</w:t>
    </w:r>
    <w:proofErr w:type="spellEnd"/>
    <w:r w:rsidR="0024376A" w:rsidRPr="00D803B2">
      <w:rPr>
        <w:rStyle w:val="Nmerodepgina"/>
        <w:rFonts w:cs="Arial"/>
        <w:b/>
        <w:bCs/>
        <w:spacing w:val="0"/>
        <w:sz w:val="18"/>
        <w:szCs w:val="20"/>
        <w:lang w:val="pt-BR"/>
      </w:rPr>
      <w:t xml:space="preserve"> </w:t>
    </w:r>
    <w:r w:rsidRPr="00D803B2">
      <w:rPr>
        <w:rStyle w:val="Nmerodepgina"/>
        <w:rFonts w:cs="Arial"/>
        <w:b/>
        <w:bCs/>
        <w:spacing w:val="0"/>
        <w:sz w:val="18"/>
        <w:szCs w:val="20"/>
        <w:lang w:val="pt-BR"/>
      </w:rPr>
      <w:t>de 20</w:t>
    </w:r>
    <w:r w:rsidR="00B27A62">
      <w:rPr>
        <w:rStyle w:val="Nmerodepgina"/>
        <w:rFonts w:cs="Arial"/>
        <w:b/>
        <w:bCs/>
        <w:spacing w:val="0"/>
        <w:sz w:val="18"/>
        <w:szCs w:val="20"/>
        <w:lang w:val="pt-BR"/>
      </w:rPr>
      <w:t>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01C6B" w14:textId="77777777" w:rsidR="00DE77A7" w:rsidRDefault="00DE77A7">
    <w:pPr>
      <w:pStyle w:val="Piedepgina"/>
      <w:rPr>
        <w:rStyle w:val="Nmerodepgina"/>
        <w:rFonts w:cs="Arial"/>
        <w:b/>
        <w:bCs/>
        <w:spacing w:val="0"/>
        <w:sz w:val="20"/>
        <w:szCs w:val="20"/>
        <w:lang w:val="pt-BR"/>
      </w:rPr>
    </w:pPr>
  </w:p>
  <w:p w14:paraId="12DB68D2" w14:textId="69246712" w:rsidR="00292689" w:rsidRPr="00E60CA0" w:rsidRDefault="00292689">
    <w:pPr>
      <w:pStyle w:val="Piedepgina"/>
      <w:rPr>
        <w:sz w:val="24"/>
      </w:rPr>
    </w:pPr>
    <w:r w:rsidRPr="00E60CA0">
      <w:rPr>
        <w:rStyle w:val="Nmerodepgina"/>
        <w:rFonts w:cs="Arial"/>
        <w:b/>
        <w:bCs/>
        <w:spacing w:val="0"/>
        <w:sz w:val="18"/>
        <w:szCs w:val="20"/>
        <w:lang w:val="pt-BR"/>
      </w:rPr>
      <w:t>Circular Externa</w:t>
    </w:r>
    <w:r w:rsidR="003B3F14" w:rsidRPr="00E60CA0">
      <w:rPr>
        <w:rStyle w:val="Nmerodepgina"/>
        <w:rFonts w:cs="Arial"/>
        <w:b/>
        <w:bCs/>
        <w:spacing w:val="0"/>
        <w:sz w:val="18"/>
        <w:szCs w:val="20"/>
        <w:lang w:val="pt-BR"/>
      </w:rPr>
      <w:t xml:space="preserve">  </w:t>
    </w:r>
    <w:r w:rsidR="002D22B8">
      <w:rPr>
        <w:rStyle w:val="Nmerodepgina"/>
        <w:rFonts w:cs="Arial"/>
        <w:b/>
        <w:bCs/>
        <w:spacing w:val="0"/>
        <w:sz w:val="18"/>
        <w:szCs w:val="20"/>
        <w:lang w:val="pt-BR"/>
      </w:rPr>
      <w:t>018</w:t>
    </w:r>
    <w:r w:rsidRPr="00E60CA0">
      <w:rPr>
        <w:rStyle w:val="Nmerodepgina"/>
        <w:rFonts w:cs="Arial"/>
        <w:b/>
        <w:bCs/>
        <w:spacing w:val="0"/>
        <w:sz w:val="18"/>
        <w:szCs w:val="20"/>
        <w:lang w:val="pt-BR"/>
      </w:rPr>
      <w:t xml:space="preserve">  de   20</w:t>
    </w:r>
    <w:r w:rsidR="00914A84">
      <w:rPr>
        <w:rStyle w:val="Nmerodepgina"/>
        <w:rFonts w:cs="Arial"/>
        <w:b/>
        <w:bCs/>
        <w:spacing w:val="0"/>
        <w:sz w:val="18"/>
        <w:szCs w:val="20"/>
        <w:lang w:val="pt-BR"/>
      </w:rPr>
      <w:t>2</w:t>
    </w:r>
    <w:r w:rsidR="00904802">
      <w:rPr>
        <w:rStyle w:val="Nmerodepgina"/>
        <w:rFonts w:cs="Arial"/>
        <w:b/>
        <w:bCs/>
        <w:spacing w:val="0"/>
        <w:sz w:val="18"/>
        <w:szCs w:val="20"/>
        <w:lang w:val="pt-BR"/>
      </w:rPr>
      <w:t>1</w:t>
    </w:r>
    <w:r w:rsidRPr="00E60CA0">
      <w:rPr>
        <w:rStyle w:val="Nmerodepgina"/>
        <w:rFonts w:cs="Arial"/>
        <w:b/>
        <w:bCs/>
        <w:spacing w:val="0"/>
        <w:sz w:val="18"/>
        <w:szCs w:val="20"/>
        <w:lang w:val="pt-BR"/>
      </w:rPr>
      <w:t xml:space="preserve">             </w:t>
    </w:r>
    <w:r w:rsidR="00DE77A7" w:rsidRPr="00E60CA0">
      <w:rPr>
        <w:rStyle w:val="Nmerodepgina"/>
        <w:rFonts w:cs="Arial"/>
        <w:b/>
        <w:bCs/>
        <w:spacing w:val="0"/>
        <w:sz w:val="18"/>
        <w:szCs w:val="20"/>
        <w:lang w:val="pt-BR"/>
      </w:rPr>
      <w:t xml:space="preserve">    </w:t>
    </w:r>
    <w:r w:rsidR="00E60CA0">
      <w:rPr>
        <w:rStyle w:val="Nmerodepgina"/>
        <w:rFonts w:cs="Arial"/>
        <w:b/>
        <w:bCs/>
        <w:spacing w:val="0"/>
        <w:sz w:val="18"/>
        <w:szCs w:val="20"/>
        <w:lang w:val="pt-BR"/>
      </w:rPr>
      <w:t xml:space="preserve">                  </w:t>
    </w:r>
    <w:r w:rsidR="00DE77A7" w:rsidRPr="00E60CA0">
      <w:rPr>
        <w:rStyle w:val="Nmerodepgina"/>
        <w:rFonts w:cs="Arial"/>
        <w:b/>
        <w:bCs/>
        <w:spacing w:val="0"/>
        <w:sz w:val="18"/>
        <w:szCs w:val="20"/>
        <w:lang w:val="pt-BR"/>
      </w:rPr>
      <w:t xml:space="preserve">         </w:t>
    </w:r>
    <w:r w:rsidRPr="00E60CA0">
      <w:rPr>
        <w:rStyle w:val="Nmerodepgina"/>
        <w:rFonts w:cs="Arial"/>
        <w:b/>
        <w:bCs/>
        <w:spacing w:val="0"/>
        <w:sz w:val="18"/>
        <w:szCs w:val="20"/>
        <w:lang w:val="pt-BR"/>
      </w:rPr>
      <w:t xml:space="preserve">                                    </w:t>
    </w:r>
    <w:r w:rsidR="0024376A" w:rsidRPr="00E60CA0">
      <w:rPr>
        <w:rStyle w:val="Nmerodepgina"/>
        <w:rFonts w:cs="Arial"/>
        <w:b/>
        <w:bCs/>
        <w:spacing w:val="0"/>
        <w:sz w:val="18"/>
        <w:szCs w:val="20"/>
        <w:lang w:val="pt-BR"/>
      </w:rPr>
      <w:t xml:space="preserve">       </w:t>
    </w:r>
    <w:r w:rsidRPr="00E60CA0">
      <w:rPr>
        <w:rStyle w:val="Nmerodepgina"/>
        <w:rFonts w:cs="Arial"/>
        <w:b/>
        <w:bCs/>
        <w:spacing w:val="0"/>
        <w:sz w:val="18"/>
        <w:szCs w:val="20"/>
        <w:lang w:val="pt-BR"/>
      </w:rPr>
      <w:t xml:space="preserve"> </w:t>
    </w:r>
    <w:proofErr w:type="spellStart"/>
    <w:r w:rsidR="00C3221C">
      <w:rPr>
        <w:rStyle w:val="Nmerodepgina"/>
        <w:rFonts w:cs="Arial"/>
        <w:b/>
        <w:bCs/>
        <w:spacing w:val="0"/>
        <w:sz w:val="18"/>
        <w:szCs w:val="20"/>
        <w:lang w:val="pt-BR"/>
      </w:rPr>
      <w:t>Septiembre</w:t>
    </w:r>
    <w:proofErr w:type="spellEnd"/>
    <w:r w:rsidR="00C3221C">
      <w:rPr>
        <w:rStyle w:val="Nmerodepgina"/>
        <w:rFonts w:cs="Arial"/>
        <w:b/>
        <w:bCs/>
        <w:spacing w:val="0"/>
        <w:sz w:val="18"/>
        <w:szCs w:val="20"/>
        <w:lang w:val="pt-BR"/>
      </w:rPr>
      <w:t xml:space="preserve"> </w:t>
    </w:r>
    <w:r w:rsidRPr="00E60CA0">
      <w:rPr>
        <w:rStyle w:val="Nmerodepgina"/>
        <w:rFonts w:cs="Arial"/>
        <w:b/>
        <w:bCs/>
        <w:spacing w:val="0"/>
        <w:sz w:val="18"/>
        <w:szCs w:val="20"/>
        <w:lang w:val="pt-BR"/>
      </w:rPr>
      <w:t>de 20</w:t>
    </w:r>
    <w:r w:rsidR="00BE09B4">
      <w:rPr>
        <w:rStyle w:val="Nmerodepgina"/>
        <w:rFonts w:cs="Arial"/>
        <w:b/>
        <w:bCs/>
        <w:spacing w:val="0"/>
        <w:sz w:val="18"/>
        <w:szCs w:val="20"/>
        <w:lang w:val="pt-BR"/>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0E256" w14:textId="77777777" w:rsidR="00BF7563" w:rsidRDefault="00BF7563">
      <w:r>
        <w:separator/>
      </w:r>
    </w:p>
  </w:footnote>
  <w:footnote w:type="continuationSeparator" w:id="0">
    <w:p w14:paraId="53295EF9" w14:textId="77777777" w:rsidR="00BF7563" w:rsidRDefault="00BF7563">
      <w:r>
        <w:continuationSeparator/>
      </w:r>
    </w:p>
  </w:footnote>
  <w:footnote w:type="continuationNotice" w:id="1">
    <w:p w14:paraId="69652323" w14:textId="77777777" w:rsidR="00BF7563" w:rsidRDefault="00BF7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91B6A" w14:textId="77777777" w:rsidR="002D22B8" w:rsidRDefault="002D22B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D841" w14:textId="77777777" w:rsidR="00291008" w:rsidRPr="00E60CA0" w:rsidRDefault="00291008" w:rsidP="00291008">
    <w:pPr>
      <w:jc w:val="center"/>
      <w:rPr>
        <w:b/>
        <w:snapToGrid w:val="0"/>
        <w:spacing w:val="0"/>
        <w:sz w:val="24"/>
        <w:szCs w:val="18"/>
        <w:lang w:val="es-MX"/>
      </w:rPr>
    </w:pPr>
    <w:r w:rsidRPr="00E60CA0">
      <w:rPr>
        <w:b/>
        <w:snapToGrid w:val="0"/>
        <w:spacing w:val="0"/>
        <w:sz w:val="24"/>
        <w:szCs w:val="18"/>
        <w:lang w:val="es-MX"/>
      </w:rPr>
      <w:t>SUPERINTENDENCIA FINANCIERA DE COLOMBIA</w:t>
    </w:r>
  </w:p>
  <w:p w14:paraId="5648172B" w14:textId="77777777" w:rsidR="00291008" w:rsidRPr="00E60CA0" w:rsidRDefault="00291008" w:rsidP="00291008">
    <w:pPr>
      <w:jc w:val="center"/>
      <w:rPr>
        <w:snapToGrid w:val="0"/>
        <w:spacing w:val="0"/>
        <w:sz w:val="18"/>
        <w:szCs w:val="18"/>
        <w:lang w:val="es-MX"/>
      </w:rPr>
    </w:pPr>
  </w:p>
  <w:p w14:paraId="26ADB97E" w14:textId="7B2CB6D0" w:rsidR="00291008" w:rsidRPr="00E60CA0" w:rsidRDefault="00291008" w:rsidP="00291008">
    <w:pPr>
      <w:tabs>
        <w:tab w:val="center" w:pos="4252"/>
        <w:tab w:val="right" w:pos="8504"/>
      </w:tabs>
      <w:ind w:right="-21"/>
      <w:rPr>
        <w:b/>
        <w:spacing w:val="0"/>
        <w:sz w:val="18"/>
        <w:szCs w:val="18"/>
        <w:lang w:val="es-CO"/>
      </w:rPr>
    </w:pPr>
    <w:r w:rsidRPr="00E60CA0">
      <w:rPr>
        <w:b/>
        <w:spacing w:val="0"/>
        <w:sz w:val="18"/>
        <w:szCs w:val="18"/>
        <w:lang w:val="es-CO"/>
      </w:rPr>
      <w:t>CAP</w:t>
    </w:r>
    <w:r w:rsidR="000B487B">
      <w:rPr>
        <w:b/>
        <w:spacing w:val="0"/>
        <w:sz w:val="18"/>
        <w:szCs w:val="18"/>
        <w:lang w:val="es-CO"/>
      </w:rPr>
      <w:t>Í</w:t>
    </w:r>
    <w:r w:rsidRPr="00E60CA0">
      <w:rPr>
        <w:b/>
        <w:spacing w:val="0"/>
        <w:sz w:val="18"/>
        <w:szCs w:val="18"/>
        <w:lang w:val="es-CO"/>
      </w:rPr>
      <w:t>TULO XXX</w:t>
    </w:r>
    <w:r w:rsidR="00483F4E">
      <w:rPr>
        <w:b/>
        <w:spacing w:val="0"/>
        <w:sz w:val="18"/>
        <w:szCs w:val="18"/>
        <w:lang w:val="es-CO"/>
      </w:rPr>
      <w:t>I</w:t>
    </w:r>
    <w:r w:rsidRPr="00E60CA0">
      <w:rPr>
        <w:b/>
        <w:spacing w:val="0"/>
        <w:sz w:val="18"/>
        <w:szCs w:val="18"/>
        <w:lang w:val="es-CO"/>
      </w:rPr>
      <w:t xml:space="preserve"> SISTEMA </w:t>
    </w:r>
    <w:r w:rsidR="00E1619C" w:rsidRPr="00E60CA0">
      <w:rPr>
        <w:b/>
        <w:spacing w:val="0"/>
        <w:sz w:val="18"/>
        <w:szCs w:val="18"/>
        <w:lang w:val="es-CO"/>
      </w:rPr>
      <w:t xml:space="preserve">INTEGRAL </w:t>
    </w:r>
    <w:r w:rsidRPr="00E60CA0">
      <w:rPr>
        <w:b/>
        <w:spacing w:val="0"/>
        <w:sz w:val="18"/>
        <w:szCs w:val="18"/>
        <w:lang w:val="es-CO"/>
      </w:rPr>
      <w:t>DE ADMINISTRACIÓN DE RIESGOS</w:t>
    </w:r>
    <w:r w:rsidR="00CE190C">
      <w:rPr>
        <w:b/>
        <w:spacing w:val="0"/>
        <w:sz w:val="18"/>
        <w:szCs w:val="18"/>
        <w:lang w:val="es-CO"/>
      </w:rPr>
      <w:t xml:space="preserve"> (SIAR)</w:t>
    </w:r>
  </w:p>
  <w:p w14:paraId="71B1EDB0" w14:textId="77777777" w:rsidR="00DE77A7" w:rsidRPr="00E60CA0" w:rsidRDefault="00DE77A7" w:rsidP="00DE77A7">
    <w:pPr>
      <w:pStyle w:val="Encabezado"/>
      <w:rPr>
        <w:b/>
        <w:sz w:val="18"/>
        <w:szCs w:val="18"/>
      </w:rPr>
    </w:pPr>
    <w:r w:rsidRPr="00E60CA0">
      <w:rPr>
        <w:b/>
        <w:sz w:val="18"/>
        <w:szCs w:val="18"/>
      </w:rPr>
      <w:t xml:space="preserve">Página </w:t>
    </w:r>
    <w:r w:rsidRPr="00E60CA0">
      <w:rPr>
        <w:b/>
        <w:sz w:val="18"/>
        <w:szCs w:val="18"/>
      </w:rPr>
      <w:fldChar w:fldCharType="begin"/>
    </w:r>
    <w:r w:rsidRPr="00E60CA0">
      <w:rPr>
        <w:b/>
        <w:sz w:val="18"/>
        <w:szCs w:val="18"/>
      </w:rPr>
      <w:instrText>PAGE   \* MERGEFORMAT</w:instrText>
    </w:r>
    <w:r w:rsidRPr="00E60CA0">
      <w:rPr>
        <w:b/>
        <w:sz w:val="18"/>
        <w:szCs w:val="18"/>
      </w:rPr>
      <w:fldChar w:fldCharType="separate"/>
    </w:r>
    <w:r w:rsidR="00DE2D5A">
      <w:rPr>
        <w:b/>
        <w:noProof/>
        <w:sz w:val="18"/>
        <w:szCs w:val="18"/>
      </w:rPr>
      <w:t>12</w:t>
    </w:r>
    <w:r w:rsidRPr="00E60CA0">
      <w:rPr>
        <w:b/>
        <w:sz w:val="18"/>
        <w:szCs w:val="18"/>
      </w:rPr>
      <w:fldChar w:fldCharType="end"/>
    </w:r>
  </w:p>
  <w:p w14:paraId="51F86DC0" w14:textId="77777777" w:rsidR="00DE77A7" w:rsidRDefault="00DE77A7" w:rsidP="00DE77A7">
    <w:pPr>
      <w:pStyle w:val="Encabezado"/>
      <w:rPr>
        <w:rFonts w:ascii="Arial (W1)" w:hAnsi="Arial (W1)"/>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4830" w14:textId="77777777" w:rsidR="00291008" w:rsidRPr="00291008" w:rsidRDefault="00291008" w:rsidP="00291008">
    <w:pPr>
      <w:jc w:val="center"/>
      <w:rPr>
        <w:b/>
        <w:snapToGrid w:val="0"/>
        <w:spacing w:val="0"/>
        <w:sz w:val="24"/>
        <w:szCs w:val="24"/>
        <w:lang w:val="es-MX"/>
      </w:rPr>
    </w:pPr>
    <w:r w:rsidRPr="00291008">
      <w:rPr>
        <w:b/>
        <w:snapToGrid w:val="0"/>
        <w:spacing w:val="0"/>
        <w:sz w:val="24"/>
        <w:szCs w:val="24"/>
        <w:lang w:val="es-MX"/>
      </w:rPr>
      <w:t>SUPERINTENDENCIA FINANCIERA DE COLOMBIA</w:t>
    </w:r>
  </w:p>
  <w:p w14:paraId="007A4D35" w14:textId="77777777" w:rsidR="00291008" w:rsidRPr="00D803B2" w:rsidRDefault="00291008" w:rsidP="00291008">
    <w:pPr>
      <w:jc w:val="center"/>
      <w:rPr>
        <w:snapToGrid w:val="0"/>
        <w:spacing w:val="0"/>
        <w:sz w:val="18"/>
        <w:szCs w:val="18"/>
        <w:lang w:val="es-MX"/>
      </w:rPr>
    </w:pPr>
  </w:p>
  <w:p w14:paraId="6EF08FB7" w14:textId="6D29BB55" w:rsidR="00291008" w:rsidRDefault="0059397D" w:rsidP="00291008">
    <w:pPr>
      <w:tabs>
        <w:tab w:val="center" w:pos="4252"/>
        <w:tab w:val="right" w:pos="8504"/>
      </w:tabs>
      <w:ind w:right="-21"/>
      <w:rPr>
        <w:rFonts w:cs="Times New Roman"/>
        <w:b/>
        <w:spacing w:val="0"/>
        <w:sz w:val="18"/>
        <w:szCs w:val="20"/>
        <w:lang w:val="es-CO"/>
      </w:rPr>
    </w:pPr>
    <w:r>
      <w:rPr>
        <w:rFonts w:cs="Times New Roman"/>
        <w:b/>
        <w:spacing w:val="0"/>
        <w:sz w:val="18"/>
        <w:szCs w:val="20"/>
        <w:lang w:val="es-CO"/>
      </w:rPr>
      <w:t>CAPÍ</w:t>
    </w:r>
    <w:r w:rsidR="00291008" w:rsidRPr="00291008">
      <w:rPr>
        <w:rFonts w:cs="Times New Roman"/>
        <w:b/>
        <w:spacing w:val="0"/>
        <w:sz w:val="18"/>
        <w:szCs w:val="20"/>
        <w:lang w:val="es-CO"/>
      </w:rPr>
      <w:t>TULO XXX</w:t>
    </w:r>
    <w:r w:rsidR="00483F4E">
      <w:rPr>
        <w:rFonts w:cs="Times New Roman"/>
        <w:b/>
        <w:spacing w:val="0"/>
        <w:sz w:val="18"/>
        <w:szCs w:val="20"/>
        <w:lang w:val="es-CO"/>
      </w:rPr>
      <w:t>I</w:t>
    </w:r>
    <w:r w:rsidR="00291008" w:rsidRPr="00291008">
      <w:rPr>
        <w:rFonts w:cs="Times New Roman"/>
        <w:b/>
        <w:spacing w:val="0"/>
        <w:sz w:val="18"/>
        <w:szCs w:val="20"/>
        <w:lang w:val="es-CO"/>
      </w:rPr>
      <w:t xml:space="preserve"> SISTEMA </w:t>
    </w:r>
    <w:r w:rsidR="00460873">
      <w:rPr>
        <w:rFonts w:cs="Times New Roman"/>
        <w:b/>
        <w:spacing w:val="0"/>
        <w:sz w:val="18"/>
        <w:szCs w:val="20"/>
        <w:lang w:val="es-CO"/>
      </w:rPr>
      <w:t xml:space="preserve">INTEGRAL </w:t>
    </w:r>
    <w:r w:rsidR="00291008" w:rsidRPr="00291008">
      <w:rPr>
        <w:rFonts w:cs="Times New Roman"/>
        <w:b/>
        <w:spacing w:val="0"/>
        <w:sz w:val="18"/>
        <w:szCs w:val="20"/>
        <w:lang w:val="es-CO"/>
      </w:rPr>
      <w:t>DE ADMINISTRACIÓN DE RIESGOS</w:t>
    </w:r>
    <w:r w:rsidR="00495536">
      <w:rPr>
        <w:rFonts w:cs="Times New Roman"/>
        <w:b/>
        <w:spacing w:val="0"/>
        <w:sz w:val="18"/>
        <w:szCs w:val="20"/>
        <w:lang w:val="es-CO"/>
      </w:rPr>
      <w:t xml:space="preserve"> (SIAR)</w:t>
    </w:r>
  </w:p>
  <w:p w14:paraId="1DC658CB" w14:textId="77777777" w:rsidR="001625E6" w:rsidRPr="00D803B2" w:rsidRDefault="001625E6" w:rsidP="001625E6">
    <w:pPr>
      <w:pStyle w:val="Encabezado"/>
      <w:rPr>
        <w:b/>
        <w:sz w:val="18"/>
        <w:szCs w:val="18"/>
      </w:rPr>
    </w:pPr>
    <w:r w:rsidRPr="00D803B2">
      <w:rPr>
        <w:b/>
        <w:sz w:val="18"/>
        <w:szCs w:val="18"/>
      </w:rPr>
      <w:t xml:space="preserve">Página </w:t>
    </w:r>
    <w:r w:rsidRPr="00D803B2">
      <w:rPr>
        <w:b/>
        <w:sz w:val="18"/>
        <w:szCs w:val="18"/>
      </w:rPr>
      <w:fldChar w:fldCharType="begin"/>
    </w:r>
    <w:r w:rsidRPr="00D803B2">
      <w:rPr>
        <w:b/>
        <w:sz w:val="18"/>
        <w:szCs w:val="18"/>
      </w:rPr>
      <w:instrText>PAGE   \* MERGEFORMAT</w:instrText>
    </w:r>
    <w:r w:rsidRPr="00D803B2">
      <w:rPr>
        <w:b/>
        <w:sz w:val="18"/>
        <w:szCs w:val="18"/>
      </w:rPr>
      <w:fldChar w:fldCharType="separate"/>
    </w:r>
    <w:r w:rsidR="00DE2D5A">
      <w:rPr>
        <w:b/>
        <w:noProof/>
        <w:sz w:val="18"/>
        <w:szCs w:val="18"/>
      </w:rPr>
      <w:t>1</w:t>
    </w:r>
    <w:r w:rsidRPr="00D803B2">
      <w:rPr>
        <w:b/>
        <w:sz w:val="18"/>
        <w:szCs w:val="18"/>
      </w:rPr>
      <w:fldChar w:fldCharType="end"/>
    </w:r>
  </w:p>
  <w:p w14:paraId="5D4925C2" w14:textId="77777777" w:rsidR="00291008" w:rsidRDefault="0029100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5601"/>
    <w:multiLevelType w:val="hybridMultilevel"/>
    <w:tmpl w:val="BC20AC1A"/>
    <w:lvl w:ilvl="0" w:tplc="000C1E5C">
      <w:start w:val="1"/>
      <w:numFmt w:val="lowerRoman"/>
      <w:lvlText w:val="%1."/>
      <w:lvlJc w:val="left"/>
      <w:pPr>
        <w:tabs>
          <w:tab w:val="num" w:pos="1068"/>
        </w:tabs>
        <w:ind w:left="1068" w:hanging="360"/>
      </w:pPr>
      <w:rPr>
        <w:rFonts w:ascii="Arial" w:eastAsia="Times New Roman" w:hAnsi="Arial" w:cs="Arial"/>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1" w15:restartNumberingAfterBreak="0">
    <w:nsid w:val="0ACA198E"/>
    <w:multiLevelType w:val="hybridMultilevel"/>
    <w:tmpl w:val="2BD0182E"/>
    <w:lvl w:ilvl="0" w:tplc="E494A86C">
      <w:start w:val="1"/>
      <w:numFmt w:val="lowerRoman"/>
      <w:lvlText w:val="%1."/>
      <w:lvlJc w:val="left"/>
      <w:pPr>
        <w:tabs>
          <w:tab w:val="num" w:pos="1068"/>
        </w:tabs>
        <w:ind w:left="1068" w:hanging="360"/>
      </w:pPr>
      <w:rPr>
        <w:rFonts w:ascii="Arial" w:eastAsia="Times New Roman" w:hAnsi="Arial" w:cs="Arial"/>
      </w:rPr>
    </w:lvl>
    <w:lvl w:ilvl="1" w:tplc="240A0019">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2" w15:restartNumberingAfterBreak="0">
    <w:nsid w:val="0EAD2A15"/>
    <w:multiLevelType w:val="hybridMultilevel"/>
    <w:tmpl w:val="3024299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 w15:restartNumberingAfterBreak="0">
    <w:nsid w:val="0F9C12AC"/>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4" w15:restartNumberingAfterBreak="0">
    <w:nsid w:val="16085B54"/>
    <w:multiLevelType w:val="hybridMultilevel"/>
    <w:tmpl w:val="D55244CE"/>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5" w15:restartNumberingAfterBreak="0">
    <w:nsid w:val="163A7700"/>
    <w:multiLevelType w:val="hybridMultilevel"/>
    <w:tmpl w:val="E28222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9186C6E"/>
    <w:multiLevelType w:val="hybridMultilevel"/>
    <w:tmpl w:val="065C6D8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7" w15:restartNumberingAfterBreak="0">
    <w:nsid w:val="195D3F98"/>
    <w:multiLevelType w:val="hybridMultilevel"/>
    <w:tmpl w:val="5A2CAFCC"/>
    <w:lvl w:ilvl="0" w:tplc="34F64D78">
      <w:start w:val="1"/>
      <w:numFmt w:val="lowerLetter"/>
      <w:lvlText w:val="%1."/>
      <w:lvlJc w:val="left"/>
      <w:pPr>
        <w:tabs>
          <w:tab w:val="num" w:pos="-207"/>
        </w:tabs>
        <w:ind w:left="643" w:hanging="283"/>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8" w15:restartNumberingAfterBreak="0">
    <w:nsid w:val="1A781C4F"/>
    <w:multiLevelType w:val="hybridMultilevel"/>
    <w:tmpl w:val="74741618"/>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E1F4F31"/>
    <w:multiLevelType w:val="hybridMultilevel"/>
    <w:tmpl w:val="3D4886C6"/>
    <w:lvl w:ilvl="0" w:tplc="DA628EB0">
      <w:start w:val="1"/>
      <w:numFmt w:val="lowerLetter"/>
      <w:pStyle w:val="Normal9pt"/>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0" w15:restartNumberingAfterBreak="0">
    <w:nsid w:val="1ECD5FB7"/>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1" w15:restartNumberingAfterBreak="0">
    <w:nsid w:val="1FB934E0"/>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2" w15:restartNumberingAfterBreak="0">
    <w:nsid w:val="20F645BA"/>
    <w:multiLevelType w:val="hybridMultilevel"/>
    <w:tmpl w:val="890E7700"/>
    <w:lvl w:ilvl="0" w:tplc="3F68EB2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AC92A8F"/>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4" w15:restartNumberingAfterBreak="0">
    <w:nsid w:val="2AF81AFE"/>
    <w:multiLevelType w:val="hybridMultilevel"/>
    <w:tmpl w:val="6454652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5" w15:restartNumberingAfterBreak="0">
    <w:nsid w:val="2C59152E"/>
    <w:multiLevelType w:val="hybridMultilevel"/>
    <w:tmpl w:val="E2D8FFAE"/>
    <w:lvl w:ilvl="0" w:tplc="E2B860F4">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F922994"/>
    <w:multiLevelType w:val="hybridMultilevel"/>
    <w:tmpl w:val="2A348678"/>
    <w:lvl w:ilvl="0" w:tplc="CAEA028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0DB6BE3"/>
    <w:multiLevelType w:val="hybridMultilevel"/>
    <w:tmpl w:val="4A6EBAB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8" w15:restartNumberingAfterBreak="0">
    <w:nsid w:val="33126C13"/>
    <w:multiLevelType w:val="hybridMultilevel"/>
    <w:tmpl w:val="AA1A47C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9" w15:restartNumberingAfterBreak="0">
    <w:nsid w:val="34404556"/>
    <w:multiLevelType w:val="multilevel"/>
    <w:tmpl w:val="B31009B4"/>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A917B32"/>
    <w:multiLevelType w:val="hybridMultilevel"/>
    <w:tmpl w:val="EF9CBE0C"/>
    <w:lvl w:ilvl="0" w:tplc="88442F4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E70144C"/>
    <w:multiLevelType w:val="hybridMultilevel"/>
    <w:tmpl w:val="C7E420A2"/>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2" w15:restartNumberingAfterBreak="0">
    <w:nsid w:val="3FD63041"/>
    <w:multiLevelType w:val="multilevel"/>
    <w:tmpl w:val="44B65476"/>
    <w:lvl w:ilvl="0">
      <w:start w:val="2"/>
      <w:numFmt w:val="decimal"/>
      <w:lvlText w:val="%1."/>
      <w:lvlJc w:val="left"/>
      <w:pPr>
        <w:tabs>
          <w:tab w:val="num" w:pos="705"/>
        </w:tabs>
        <w:ind w:left="705" w:hanging="705"/>
      </w:pPr>
      <w:rPr>
        <w:rFonts w:cs="Times New Roman" w:hint="default"/>
        <w:b/>
        <w:bCs/>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b w:val="0"/>
        <w:bCs/>
      </w:rPr>
    </w:lvl>
    <w:lvl w:ilvl="3">
      <w:start w:val="1"/>
      <w:numFmt w:val="decimal"/>
      <w:isLgl/>
      <w:lvlText w:val="%1.%2.%3.%4"/>
      <w:lvlJc w:val="left"/>
      <w:pPr>
        <w:tabs>
          <w:tab w:val="num" w:pos="720"/>
        </w:tabs>
        <w:ind w:left="720" w:hanging="720"/>
      </w:pPr>
      <w:rPr>
        <w:rFonts w:cs="Times New Roman" w:hint="default"/>
        <w:b w:val="0"/>
        <w:bCs/>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3" w15:restartNumberingAfterBreak="0">
    <w:nsid w:val="45C30E5F"/>
    <w:multiLevelType w:val="hybridMultilevel"/>
    <w:tmpl w:val="F3ACB412"/>
    <w:lvl w:ilvl="0" w:tplc="7106814A">
      <w:start w:val="2"/>
      <w:numFmt w:val="lowerLetter"/>
      <w:lvlText w:val="%1."/>
      <w:lvlJc w:val="left"/>
      <w:pPr>
        <w:tabs>
          <w:tab w:val="num" w:pos="1068"/>
        </w:tabs>
        <w:ind w:left="1068" w:hanging="360"/>
      </w:pPr>
      <w:rPr>
        <w:rFonts w:cs="Times New Roman"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7427782"/>
    <w:multiLevelType w:val="hybridMultilevel"/>
    <w:tmpl w:val="2D8E0486"/>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5" w15:restartNumberingAfterBreak="0">
    <w:nsid w:val="481048EB"/>
    <w:multiLevelType w:val="hybridMultilevel"/>
    <w:tmpl w:val="6582AA1E"/>
    <w:lvl w:ilvl="0" w:tplc="03006B3A">
      <w:start w:val="1"/>
      <w:numFmt w:val="lowerLetter"/>
      <w:lvlText w:val="%1."/>
      <w:lvlJc w:val="left"/>
      <w:pPr>
        <w:tabs>
          <w:tab w:val="num" w:pos="357"/>
        </w:tabs>
        <w:ind w:firstLine="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6" w15:restartNumberingAfterBreak="0">
    <w:nsid w:val="4AB37924"/>
    <w:multiLevelType w:val="hybridMultilevel"/>
    <w:tmpl w:val="28C0DC80"/>
    <w:lvl w:ilvl="0" w:tplc="594876CE">
      <w:start w:val="1"/>
      <w:numFmt w:val="lowerLetter"/>
      <w:lvlText w:val="%1."/>
      <w:lvlJc w:val="left"/>
      <w:pPr>
        <w:tabs>
          <w:tab w:val="num" w:pos="720"/>
        </w:tabs>
        <w:ind w:left="720" w:hanging="360"/>
      </w:pPr>
      <w:rPr>
        <w:rFonts w:cs="Times New Roman" w:hint="default"/>
      </w:rPr>
    </w:lvl>
    <w:lvl w:ilvl="1" w:tplc="61D480FE">
      <w:start w:val="1"/>
      <w:numFmt w:val="decimal"/>
      <w:lvlText w:val="%2.)"/>
      <w:lvlJc w:val="left"/>
      <w:pPr>
        <w:tabs>
          <w:tab w:val="num" w:pos="1440"/>
        </w:tabs>
        <w:ind w:left="1440" w:hanging="360"/>
      </w:pPr>
      <w:rPr>
        <w:rFonts w:cs="Times New Roman"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7" w15:restartNumberingAfterBreak="0">
    <w:nsid w:val="4C466F9F"/>
    <w:multiLevelType w:val="hybridMultilevel"/>
    <w:tmpl w:val="4834410A"/>
    <w:lvl w:ilvl="0" w:tplc="B1326AB0">
      <w:start w:val="1"/>
      <w:numFmt w:val="lowerLetter"/>
      <w:lvlText w:val="%1."/>
      <w:lvlJc w:val="left"/>
      <w:pPr>
        <w:tabs>
          <w:tab w:val="num" w:pos="720"/>
        </w:tabs>
        <w:ind w:left="720" w:hanging="360"/>
      </w:pPr>
      <w:rPr>
        <w:rFonts w:ascii="Arial" w:eastAsia="Times New Roman" w:hAnsi="Arial" w:cs="Arial"/>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3770F3"/>
    <w:multiLevelType w:val="hybridMultilevel"/>
    <w:tmpl w:val="D620119C"/>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9" w15:restartNumberingAfterBreak="0">
    <w:nsid w:val="4E9272FA"/>
    <w:multiLevelType w:val="hybridMultilevel"/>
    <w:tmpl w:val="75C457C6"/>
    <w:lvl w:ilvl="0" w:tplc="CAE075D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1" w15:restartNumberingAfterBreak="0">
    <w:nsid w:val="54DB201E"/>
    <w:multiLevelType w:val="hybridMultilevel"/>
    <w:tmpl w:val="AC886C66"/>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2" w15:restartNumberingAfterBreak="0">
    <w:nsid w:val="56D90268"/>
    <w:multiLevelType w:val="multilevel"/>
    <w:tmpl w:val="4EEC1F54"/>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D0D105A"/>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4" w15:restartNumberingAfterBreak="0">
    <w:nsid w:val="68961833"/>
    <w:multiLevelType w:val="hybridMultilevel"/>
    <w:tmpl w:val="A154958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6ED07EF3"/>
    <w:multiLevelType w:val="multilevel"/>
    <w:tmpl w:val="007025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313735D"/>
    <w:multiLevelType w:val="multilevel"/>
    <w:tmpl w:val="314C9346"/>
    <w:lvl w:ilvl="0">
      <w:start w:val="2"/>
      <w:numFmt w:val="decimal"/>
      <w:lvlText w:val="%1"/>
      <w:lvlJc w:val="left"/>
      <w:pPr>
        <w:ind w:left="840" w:hanging="840"/>
      </w:pPr>
      <w:rPr>
        <w:rFonts w:hint="default"/>
        <w:color w:val="FFFFFF" w:themeColor="background1"/>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5020C70"/>
    <w:multiLevelType w:val="hybridMultilevel"/>
    <w:tmpl w:val="DC5C7786"/>
    <w:lvl w:ilvl="0" w:tplc="03400722">
      <w:start w:val="6"/>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79CD7E34"/>
    <w:multiLevelType w:val="hybridMultilevel"/>
    <w:tmpl w:val="D4CC16AA"/>
    <w:lvl w:ilvl="0" w:tplc="0C0A001B">
      <w:start w:val="1"/>
      <w:numFmt w:val="lowerRoman"/>
      <w:lvlText w:val="%1."/>
      <w:lvlJc w:val="right"/>
      <w:pPr>
        <w:ind w:left="1080" w:hanging="720"/>
      </w:pPr>
      <w:rPr>
        <w:rFonts w:cs="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7D8766CD"/>
    <w:multiLevelType w:val="multilevel"/>
    <w:tmpl w:val="1DB4EEA8"/>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6"/>
  </w:num>
  <w:num w:numId="2">
    <w:abstractNumId w:val="9"/>
  </w:num>
  <w:num w:numId="3">
    <w:abstractNumId w:val="22"/>
  </w:num>
  <w:num w:numId="4">
    <w:abstractNumId w:val="21"/>
  </w:num>
  <w:num w:numId="5">
    <w:abstractNumId w:val="18"/>
  </w:num>
  <w:num w:numId="6">
    <w:abstractNumId w:val="4"/>
  </w:num>
  <w:num w:numId="7">
    <w:abstractNumId w:val="6"/>
  </w:num>
  <w:num w:numId="8">
    <w:abstractNumId w:val="2"/>
  </w:num>
  <w:num w:numId="9">
    <w:abstractNumId w:val="17"/>
  </w:num>
  <w:num w:numId="10">
    <w:abstractNumId w:val="28"/>
  </w:num>
  <w:num w:numId="11">
    <w:abstractNumId w:val="0"/>
  </w:num>
  <w:num w:numId="12">
    <w:abstractNumId w:val="30"/>
  </w:num>
  <w:num w:numId="13">
    <w:abstractNumId w:val="7"/>
  </w:num>
  <w:num w:numId="14">
    <w:abstractNumId w:val="24"/>
  </w:num>
  <w:num w:numId="15">
    <w:abstractNumId w:val="14"/>
  </w:num>
  <w:num w:numId="16">
    <w:abstractNumId w:val="27"/>
  </w:num>
  <w:num w:numId="17">
    <w:abstractNumId w:val="25"/>
  </w:num>
  <w:num w:numId="18">
    <w:abstractNumId w:val="31"/>
  </w:num>
  <w:num w:numId="19">
    <w:abstractNumId w:val="32"/>
  </w:num>
  <w:num w:numId="20">
    <w:abstractNumId w:val="39"/>
  </w:num>
  <w:num w:numId="21">
    <w:abstractNumId w:val="23"/>
  </w:num>
  <w:num w:numId="22">
    <w:abstractNumId w:val="1"/>
  </w:num>
  <w:num w:numId="23">
    <w:abstractNumId w:val="36"/>
  </w:num>
  <w:num w:numId="24">
    <w:abstractNumId w:val="19"/>
  </w:num>
  <w:num w:numId="25">
    <w:abstractNumId w:val="12"/>
  </w:num>
  <w:num w:numId="26">
    <w:abstractNumId w:val="15"/>
  </w:num>
  <w:num w:numId="27">
    <w:abstractNumId w:val="29"/>
  </w:num>
  <w:num w:numId="28">
    <w:abstractNumId w:val="16"/>
  </w:num>
  <w:num w:numId="29">
    <w:abstractNumId w:val="37"/>
  </w:num>
  <w:num w:numId="30">
    <w:abstractNumId w:val="8"/>
  </w:num>
  <w:num w:numId="31">
    <w:abstractNumId w:val="33"/>
  </w:num>
  <w:num w:numId="32">
    <w:abstractNumId w:val="13"/>
  </w:num>
  <w:num w:numId="33">
    <w:abstractNumId w:val="11"/>
  </w:num>
  <w:num w:numId="34">
    <w:abstractNumId w:val="10"/>
  </w:num>
  <w:num w:numId="35">
    <w:abstractNumId w:val="3"/>
  </w:num>
  <w:num w:numId="36">
    <w:abstractNumId w:val="35"/>
  </w:num>
  <w:num w:numId="37">
    <w:abstractNumId w:val="34"/>
  </w:num>
  <w:num w:numId="38">
    <w:abstractNumId w:val="20"/>
  </w:num>
  <w:num w:numId="39">
    <w:abstractNumId w:val="5"/>
  </w:num>
  <w:num w:numId="40">
    <w:abstractNumId w:val="3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pt-BR" w:vendorID="64" w:dllVersion="0" w:nlCheck="1" w:checkStyle="0"/>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pt-BR"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122"/>
    <w:rsid w:val="00011ECB"/>
    <w:rsid w:val="00016EFA"/>
    <w:rsid w:val="00021AFF"/>
    <w:rsid w:val="00024D20"/>
    <w:rsid w:val="00031276"/>
    <w:rsid w:val="00044808"/>
    <w:rsid w:val="000558A7"/>
    <w:rsid w:val="000568CF"/>
    <w:rsid w:val="00060297"/>
    <w:rsid w:val="00062731"/>
    <w:rsid w:val="00070140"/>
    <w:rsid w:val="00087BC9"/>
    <w:rsid w:val="00090D55"/>
    <w:rsid w:val="000934FA"/>
    <w:rsid w:val="0009435B"/>
    <w:rsid w:val="000979D0"/>
    <w:rsid w:val="000A435C"/>
    <w:rsid w:val="000A4AF0"/>
    <w:rsid w:val="000A4B96"/>
    <w:rsid w:val="000B487B"/>
    <w:rsid w:val="000C31CD"/>
    <w:rsid w:val="000C3F60"/>
    <w:rsid w:val="000C75E6"/>
    <w:rsid w:val="000D127B"/>
    <w:rsid w:val="000D5433"/>
    <w:rsid w:val="000E1D58"/>
    <w:rsid w:val="000F1890"/>
    <w:rsid w:val="000F248A"/>
    <w:rsid w:val="000F4D30"/>
    <w:rsid w:val="000F6597"/>
    <w:rsid w:val="001050EA"/>
    <w:rsid w:val="00107342"/>
    <w:rsid w:val="00112E54"/>
    <w:rsid w:val="001150C9"/>
    <w:rsid w:val="00121D54"/>
    <w:rsid w:val="00130BC8"/>
    <w:rsid w:val="0013271B"/>
    <w:rsid w:val="001340C3"/>
    <w:rsid w:val="00135AF0"/>
    <w:rsid w:val="00143A2A"/>
    <w:rsid w:val="00150528"/>
    <w:rsid w:val="00154653"/>
    <w:rsid w:val="00160CC5"/>
    <w:rsid w:val="001625E6"/>
    <w:rsid w:val="001656EE"/>
    <w:rsid w:val="00167640"/>
    <w:rsid w:val="00181095"/>
    <w:rsid w:val="00183A02"/>
    <w:rsid w:val="00190376"/>
    <w:rsid w:val="00196A33"/>
    <w:rsid w:val="001A2B98"/>
    <w:rsid w:val="001B5F6A"/>
    <w:rsid w:val="001B6F4B"/>
    <w:rsid w:val="001C091F"/>
    <w:rsid w:val="001C0F3C"/>
    <w:rsid w:val="001C3D61"/>
    <w:rsid w:val="001D19BF"/>
    <w:rsid w:val="001D51E7"/>
    <w:rsid w:val="001E1F8D"/>
    <w:rsid w:val="001E2033"/>
    <w:rsid w:val="001E33EB"/>
    <w:rsid w:val="001F4383"/>
    <w:rsid w:val="0020419D"/>
    <w:rsid w:val="00204833"/>
    <w:rsid w:val="0020656B"/>
    <w:rsid w:val="0021001E"/>
    <w:rsid w:val="00224CF0"/>
    <w:rsid w:val="002371C3"/>
    <w:rsid w:val="0024361B"/>
    <w:rsid w:val="0024376A"/>
    <w:rsid w:val="00246927"/>
    <w:rsid w:val="002527D9"/>
    <w:rsid w:val="0025420E"/>
    <w:rsid w:val="00262337"/>
    <w:rsid w:val="002625D5"/>
    <w:rsid w:val="00270105"/>
    <w:rsid w:val="00270A6A"/>
    <w:rsid w:val="00271D24"/>
    <w:rsid w:val="00277764"/>
    <w:rsid w:val="00281281"/>
    <w:rsid w:val="00290EEC"/>
    <w:rsid w:val="00291008"/>
    <w:rsid w:val="00292689"/>
    <w:rsid w:val="002A18D8"/>
    <w:rsid w:val="002A57F4"/>
    <w:rsid w:val="002D22B8"/>
    <w:rsid w:val="002D4DE2"/>
    <w:rsid w:val="002E52D5"/>
    <w:rsid w:val="002E56E0"/>
    <w:rsid w:val="002F172F"/>
    <w:rsid w:val="002F74D9"/>
    <w:rsid w:val="00310094"/>
    <w:rsid w:val="0031234A"/>
    <w:rsid w:val="003320E6"/>
    <w:rsid w:val="00334E47"/>
    <w:rsid w:val="00345033"/>
    <w:rsid w:val="00346627"/>
    <w:rsid w:val="00351BBA"/>
    <w:rsid w:val="00357ED8"/>
    <w:rsid w:val="003758BB"/>
    <w:rsid w:val="00391BBC"/>
    <w:rsid w:val="00392F56"/>
    <w:rsid w:val="00394F65"/>
    <w:rsid w:val="003A0F36"/>
    <w:rsid w:val="003B3F14"/>
    <w:rsid w:val="003B6CDC"/>
    <w:rsid w:val="003C63AC"/>
    <w:rsid w:val="003C6DB4"/>
    <w:rsid w:val="003C725A"/>
    <w:rsid w:val="003D4433"/>
    <w:rsid w:val="003D6B6F"/>
    <w:rsid w:val="003E768E"/>
    <w:rsid w:val="003F0826"/>
    <w:rsid w:val="003F5BAA"/>
    <w:rsid w:val="00405AB8"/>
    <w:rsid w:val="0041505B"/>
    <w:rsid w:val="004219EB"/>
    <w:rsid w:val="00431638"/>
    <w:rsid w:val="0044337B"/>
    <w:rsid w:val="00446449"/>
    <w:rsid w:val="00454983"/>
    <w:rsid w:val="004571F6"/>
    <w:rsid w:val="00460873"/>
    <w:rsid w:val="00461680"/>
    <w:rsid w:val="00464A5F"/>
    <w:rsid w:val="00466445"/>
    <w:rsid w:val="00477169"/>
    <w:rsid w:val="00483F4E"/>
    <w:rsid w:val="00484BEE"/>
    <w:rsid w:val="00485D8F"/>
    <w:rsid w:val="00490E72"/>
    <w:rsid w:val="00491E4D"/>
    <w:rsid w:val="00495536"/>
    <w:rsid w:val="004A101E"/>
    <w:rsid w:val="004A7362"/>
    <w:rsid w:val="004B1549"/>
    <w:rsid w:val="004B57F6"/>
    <w:rsid w:val="004C2F30"/>
    <w:rsid w:val="004C453C"/>
    <w:rsid w:val="004D0A59"/>
    <w:rsid w:val="004D31D3"/>
    <w:rsid w:val="004E157F"/>
    <w:rsid w:val="004F072A"/>
    <w:rsid w:val="00500D57"/>
    <w:rsid w:val="005148FF"/>
    <w:rsid w:val="00515991"/>
    <w:rsid w:val="0052415D"/>
    <w:rsid w:val="0053406F"/>
    <w:rsid w:val="00535169"/>
    <w:rsid w:val="005443DC"/>
    <w:rsid w:val="00545C2B"/>
    <w:rsid w:val="00553F4F"/>
    <w:rsid w:val="005541D0"/>
    <w:rsid w:val="0056702D"/>
    <w:rsid w:val="00573997"/>
    <w:rsid w:val="00591778"/>
    <w:rsid w:val="00593748"/>
    <w:rsid w:val="0059397D"/>
    <w:rsid w:val="005A4B17"/>
    <w:rsid w:val="005B4932"/>
    <w:rsid w:val="005C63EF"/>
    <w:rsid w:val="005E1338"/>
    <w:rsid w:val="005F06AE"/>
    <w:rsid w:val="005F1C60"/>
    <w:rsid w:val="00601CAD"/>
    <w:rsid w:val="006176B8"/>
    <w:rsid w:val="006213CA"/>
    <w:rsid w:val="006240B6"/>
    <w:rsid w:val="00624FA1"/>
    <w:rsid w:val="00644670"/>
    <w:rsid w:val="00653110"/>
    <w:rsid w:val="006655C4"/>
    <w:rsid w:val="00667D63"/>
    <w:rsid w:val="00671BCA"/>
    <w:rsid w:val="006735E3"/>
    <w:rsid w:val="0067489A"/>
    <w:rsid w:val="00692CEB"/>
    <w:rsid w:val="00694DDA"/>
    <w:rsid w:val="006A7AD1"/>
    <w:rsid w:val="006B136E"/>
    <w:rsid w:val="006B2844"/>
    <w:rsid w:val="006B7A6E"/>
    <w:rsid w:val="006D4CAD"/>
    <w:rsid w:val="006E6C99"/>
    <w:rsid w:val="006E7CC1"/>
    <w:rsid w:val="006F3EA6"/>
    <w:rsid w:val="00702466"/>
    <w:rsid w:val="00703908"/>
    <w:rsid w:val="00707C73"/>
    <w:rsid w:val="007107ED"/>
    <w:rsid w:val="00720448"/>
    <w:rsid w:val="00720C81"/>
    <w:rsid w:val="00722AB1"/>
    <w:rsid w:val="007236F7"/>
    <w:rsid w:val="00726A83"/>
    <w:rsid w:val="007276F1"/>
    <w:rsid w:val="00731A18"/>
    <w:rsid w:val="00734AE5"/>
    <w:rsid w:val="00736637"/>
    <w:rsid w:val="0074071A"/>
    <w:rsid w:val="0074108C"/>
    <w:rsid w:val="00753F62"/>
    <w:rsid w:val="00762DE1"/>
    <w:rsid w:val="00766164"/>
    <w:rsid w:val="007757A1"/>
    <w:rsid w:val="00775A07"/>
    <w:rsid w:val="00775E8A"/>
    <w:rsid w:val="007957FA"/>
    <w:rsid w:val="007A3C3D"/>
    <w:rsid w:val="007B151C"/>
    <w:rsid w:val="007B432A"/>
    <w:rsid w:val="007D1633"/>
    <w:rsid w:val="007F0427"/>
    <w:rsid w:val="007F053E"/>
    <w:rsid w:val="007F3693"/>
    <w:rsid w:val="008013D8"/>
    <w:rsid w:val="00801DF7"/>
    <w:rsid w:val="008037C5"/>
    <w:rsid w:val="00805667"/>
    <w:rsid w:val="00813A49"/>
    <w:rsid w:val="00825AA3"/>
    <w:rsid w:val="00826127"/>
    <w:rsid w:val="00830AFD"/>
    <w:rsid w:val="00830C68"/>
    <w:rsid w:val="00837471"/>
    <w:rsid w:val="0085395C"/>
    <w:rsid w:val="00855926"/>
    <w:rsid w:val="008917D2"/>
    <w:rsid w:val="008A30F4"/>
    <w:rsid w:val="008A491B"/>
    <w:rsid w:val="008A605B"/>
    <w:rsid w:val="008B6B36"/>
    <w:rsid w:val="008D0113"/>
    <w:rsid w:val="008D23D4"/>
    <w:rsid w:val="008D5E47"/>
    <w:rsid w:val="008E74D1"/>
    <w:rsid w:val="008F7C81"/>
    <w:rsid w:val="00903F31"/>
    <w:rsid w:val="00904802"/>
    <w:rsid w:val="00913B81"/>
    <w:rsid w:val="00914A84"/>
    <w:rsid w:val="009201E2"/>
    <w:rsid w:val="00922FD1"/>
    <w:rsid w:val="00924168"/>
    <w:rsid w:val="009250B9"/>
    <w:rsid w:val="00927135"/>
    <w:rsid w:val="00933FAA"/>
    <w:rsid w:val="009350DB"/>
    <w:rsid w:val="009352B8"/>
    <w:rsid w:val="00935488"/>
    <w:rsid w:val="009523FF"/>
    <w:rsid w:val="0095477C"/>
    <w:rsid w:val="00961B50"/>
    <w:rsid w:val="00962E58"/>
    <w:rsid w:val="009848C6"/>
    <w:rsid w:val="009850B0"/>
    <w:rsid w:val="00987B3E"/>
    <w:rsid w:val="0099236E"/>
    <w:rsid w:val="00997AFA"/>
    <w:rsid w:val="009A0DE0"/>
    <w:rsid w:val="009A3549"/>
    <w:rsid w:val="009E6AB7"/>
    <w:rsid w:val="009F67E6"/>
    <w:rsid w:val="009F7EF0"/>
    <w:rsid w:val="00A02EC2"/>
    <w:rsid w:val="00A03A90"/>
    <w:rsid w:val="00A13779"/>
    <w:rsid w:val="00A367C2"/>
    <w:rsid w:val="00A421C6"/>
    <w:rsid w:val="00A64C93"/>
    <w:rsid w:val="00A64E94"/>
    <w:rsid w:val="00A7119D"/>
    <w:rsid w:val="00A8176F"/>
    <w:rsid w:val="00A9696E"/>
    <w:rsid w:val="00AA0236"/>
    <w:rsid w:val="00AB1122"/>
    <w:rsid w:val="00AB66F8"/>
    <w:rsid w:val="00AC4C9F"/>
    <w:rsid w:val="00AE101B"/>
    <w:rsid w:val="00AE2570"/>
    <w:rsid w:val="00AF03B1"/>
    <w:rsid w:val="00B05F58"/>
    <w:rsid w:val="00B10F78"/>
    <w:rsid w:val="00B1190B"/>
    <w:rsid w:val="00B12CEC"/>
    <w:rsid w:val="00B15CDA"/>
    <w:rsid w:val="00B23A8C"/>
    <w:rsid w:val="00B27A62"/>
    <w:rsid w:val="00B346EB"/>
    <w:rsid w:val="00B42BC3"/>
    <w:rsid w:val="00B45D69"/>
    <w:rsid w:val="00B512CF"/>
    <w:rsid w:val="00B51EC6"/>
    <w:rsid w:val="00B52A7D"/>
    <w:rsid w:val="00B579F1"/>
    <w:rsid w:val="00B65F4C"/>
    <w:rsid w:val="00B70F0D"/>
    <w:rsid w:val="00B7323A"/>
    <w:rsid w:val="00B81833"/>
    <w:rsid w:val="00B83098"/>
    <w:rsid w:val="00B87EEE"/>
    <w:rsid w:val="00B9277E"/>
    <w:rsid w:val="00B97B14"/>
    <w:rsid w:val="00BA130B"/>
    <w:rsid w:val="00BA4F15"/>
    <w:rsid w:val="00BB3D03"/>
    <w:rsid w:val="00BD4BDA"/>
    <w:rsid w:val="00BD78CE"/>
    <w:rsid w:val="00BE09B4"/>
    <w:rsid w:val="00BF3A0D"/>
    <w:rsid w:val="00BF5CDB"/>
    <w:rsid w:val="00BF7563"/>
    <w:rsid w:val="00C122DD"/>
    <w:rsid w:val="00C165F0"/>
    <w:rsid w:val="00C217D9"/>
    <w:rsid w:val="00C25688"/>
    <w:rsid w:val="00C31154"/>
    <w:rsid w:val="00C3221C"/>
    <w:rsid w:val="00C34844"/>
    <w:rsid w:val="00C4243C"/>
    <w:rsid w:val="00C52D94"/>
    <w:rsid w:val="00C60E80"/>
    <w:rsid w:val="00C65A62"/>
    <w:rsid w:val="00C6768E"/>
    <w:rsid w:val="00C76D43"/>
    <w:rsid w:val="00C77769"/>
    <w:rsid w:val="00C8120B"/>
    <w:rsid w:val="00C83195"/>
    <w:rsid w:val="00C90974"/>
    <w:rsid w:val="00C94762"/>
    <w:rsid w:val="00C95B70"/>
    <w:rsid w:val="00CA47AE"/>
    <w:rsid w:val="00CA5E0E"/>
    <w:rsid w:val="00CB2327"/>
    <w:rsid w:val="00CB2B82"/>
    <w:rsid w:val="00CB4770"/>
    <w:rsid w:val="00CC5BCE"/>
    <w:rsid w:val="00CD586D"/>
    <w:rsid w:val="00CE190C"/>
    <w:rsid w:val="00CE1BAD"/>
    <w:rsid w:val="00CE4D92"/>
    <w:rsid w:val="00CE6063"/>
    <w:rsid w:val="00D06919"/>
    <w:rsid w:val="00D06C72"/>
    <w:rsid w:val="00D07A84"/>
    <w:rsid w:val="00D15F80"/>
    <w:rsid w:val="00D16798"/>
    <w:rsid w:val="00D25F1B"/>
    <w:rsid w:val="00D320A7"/>
    <w:rsid w:val="00D42320"/>
    <w:rsid w:val="00D46439"/>
    <w:rsid w:val="00D47395"/>
    <w:rsid w:val="00D66DC6"/>
    <w:rsid w:val="00D732A5"/>
    <w:rsid w:val="00D803B2"/>
    <w:rsid w:val="00D81B2A"/>
    <w:rsid w:val="00D84047"/>
    <w:rsid w:val="00D908AD"/>
    <w:rsid w:val="00D91438"/>
    <w:rsid w:val="00D97AD3"/>
    <w:rsid w:val="00DA3A43"/>
    <w:rsid w:val="00DA41A0"/>
    <w:rsid w:val="00DA75D8"/>
    <w:rsid w:val="00DB4ABA"/>
    <w:rsid w:val="00DC046B"/>
    <w:rsid w:val="00DC0E81"/>
    <w:rsid w:val="00DC3179"/>
    <w:rsid w:val="00DD36DE"/>
    <w:rsid w:val="00DD54F7"/>
    <w:rsid w:val="00DE2D5A"/>
    <w:rsid w:val="00DE3388"/>
    <w:rsid w:val="00DE426C"/>
    <w:rsid w:val="00DE77A7"/>
    <w:rsid w:val="00DE7CA0"/>
    <w:rsid w:val="00DF7CEF"/>
    <w:rsid w:val="00E02123"/>
    <w:rsid w:val="00E02D03"/>
    <w:rsid w:val="00E05EBB"/>
    <w:rsid w:val="00E11579"/>
    <w:rsid w:val="00E15E51"/>
    <w:rsid w:val="00E1619C"/>
    <w:rsid w:val="00E163D8"/>
    <w:rsid w:val="00E218E1"/>
    <w:rsid w:val="00E262AA"/>
    <w:rsid w:val="00E306A0"/>
    <w:rsid w:val="00E343F3"/>
    <w:rsid w:val="00E424C7"/>
    <w:rsid w:val="00E455A0"/>
    <w:rsid w:val="00E52B7B"/>
    <w:rsid w:val="00E60CA0"/>
    <w:rsid w:val="00E6285D"/>
    <w:rsid w:val="00E65CC2"/>
    <w:rsid w:val="00E768CA"/>
    <w:rsid w:val="00E81FE3"/>
    <w:rsid w:val="00E820F1"/>
    <w:rsid w:val="00E857B7"/>
    <w:rsid w:val="00E86941"/>
    <w:rsid w:val="00E9711C"/>
    <w:rsid w:val="00EA0CAF"/>
    <w:rsid w:val="00EA1EBA"/>
    <w:rsid w:val="00EB6925"/>
    <w:rsid w:val="00EC0A4F"/>
    <w:rsid w:val="00EC1C9B"/>
    <w:rsid w:val="00ED4A43"/>
    <w:rsid w:val="00ED71D1"/>
    <w:rsid w:val="00ED7E4B"/>
    <w:rsid w:val="00EF1A54"/>
    <w:rsid w:val="00F004B1"/>
    <w:rsid w:val="00F02BB1"/>
    <w:rsid w:val="00F15B56"/>
    <w:rsid w:val="00F1646A"/>
    <w:rsid w:val="00F22AAF"/>
    <w:rsid w:val="00F25120"/>
    <w:rsid w:val="00F27596"/>
    <w:rsid w:val="00F302A6"/>
    <w:rsid w:val="00F318FF"/>
    <w:rsid w:val="00F42F9A"/>
    <w:rsid w:val="00F56225"/>
    <w:rsid w:val="00F77BC9"/>
    <w:rsid w:val="00F807E8"/>
    <w:rsid w:val="00F827C9"/>
    <w:rsid w:val="00F84E03"/>
    <w:rsid w:val="00F86D68"/>
    <w:rsid w:val="00FA2004"/>
    <w:rsid w:val="00FA4ACA"/>
    <w:rsid w:val="00FB6CAE"/>
    <w:rsid w:val="00FC0CE4"/>
    <w:rsid w:val="00FD41E2"/>
    <w:rsid w:val="00FE46B6"/>
    <w:rsid w:val="00FE4ED7"/>
    <w:rsid w:val="00FF7692"/>
    <w:rsid w:val="03B875A5"/>
    <w:rsid w:val="0B914996"/>
    <w:rsid w:val="213F2BB1"/>
    <w:rsid w:val="21E4590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4D19C34"/>
  <w15:docId w15:val="{0DDD0335-FD69-43B1-9FC6-55CF2E4F5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2FD1"/>
    <w:rPr>
      <w:rFonts w:ascii="Arial" w:hAnsi="Arial" w:cs="Arial"/>
      <w:spacing w:val="20"/>
      <w:sz w:val="28"/>
      <w:szCs w:val="28"/>
      <w:lang w:val="es-ES" w:eastAsia="es-ES"/>
    </w:rPr>
  </w:style>
  <w:style w:type="paragraph" w:styleId="Ttulo1">
    <w:name w:val="heading 1"/>
    <w:basedOn w:val="Normal"/>
    <w:next w:val="Normal"/>
    <w:qFormat/>
    <w:rsid w:val="00922FD1"/>
    <w:pPr>
      <w:keepNext/>
      <w:outlineLvl w:val="0"/>
    </w:pPr>
    <w:rPr>
      <w:b/>
      <w:bCs/>
      <w:sz w:val="24"/>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22FD1"/>
    <w:pPr>
      <w:jc w:val="both"/>
    </w:pPr>
    <w:rPr>
      <w:sz w:val="24"/>
      <w:szCs w:val="24"/>
      <w:lang w:val="es-MX"/>
    </w:rPr>
  </w:style>
  <w:style w:type="paragraph" w:styleId="Ttulo">
    <w:name w:val="Title"/>
    <w:basedOn w:val="Normal"/>
    <w:qFormat/>
    <w:rsid w:val="00922FD1"/>
    <w:pPr>
      <w:jc w:val="center"/>
      <w:outlineLvl w:val="0"/>
    </w:pPr>
    <w:rPr>
      <w:rFonts w:cs="Times New Roman"/>
      <w:b/>
      <w:bCs/>
      <w:spacing w:val="0"/>
      <w:sz w:val="22"/>
      <w:szCs w:val="22"/>
      <w:lang w:val="es-MX"/>
    </w:rPr>
  </w:style>
  <w:style w:type="paragraph" w:styleId="Sangradetextonormal">
    <w:name w:val="Body Text Indent"/>
    <w:basedOn w:val="Normal"/>
    <w:rsid w:val="00922FD1"/>
    <w:pPr>
      <w:keepNext/>
      <w:ind w:left="284" w:hanging="284"/>
      <w:jc w:val="both"/>
    </w:pPr>
    <w:rPr>
      <w:rFonts w:cs="Times New Roman"/>
      <w:sz w:val="20"/>
      <w:szCs w:val="20"/>
      <w:lang w:val="es-MX"/>
    </w:rPr>
  </w:style>
  <w:style w:type="paragraph" w:styleId="Textoindependiente3">
    <w:name w:val="Body Text 3"/>
    <w:basedOn w:val="Normal"/>
    <w:rsid w:val="00922FD1"/>
    <w:pPr>
      <w:jc w:val="both"/>
    </w:pPr>
    <w:rPr>
      <w:rFonts w:cs="Times New Roman"/>
      <w:sz w:val="20"/>
      <w:szCs w:val="20"/>
      <w:lang w:val="es-MX"/>
    </w:rPr>
  </w:style>
  <w:style w:type="paragraph" w:styleId="Piedepgina">
    <w:name w:val="footer"/>
    <w:basedOn w:val="Normal"/>
    <w:link w:val="PiedepginaCar"/>
    <w:rsid w:val="00922FD1"/>
    <w:pPr>
      <w:tabs>
        <w:tab w:val="center" w:pos="4252"/>
        <w:tab w:val="right" w:pos="8504"/>
      </w:tabs>
    </w:pPr>
  </w:style>
  <w:style w:type="character" w:styleId="Nmerodepgina">
    <w:name w:val="page number"/>
    <w:rsid w:val="00922FD1"/>
    <w:rPr>
      <w:rFonts w:cs="Times New Roman"/>
    </w:rPr>
  </w:style>
  <w:style w:type="paragraph" w:styleId="Encabezado">
    <w:name w:val="header"/>
    <w:basedOn w:val="Normal"/>
    <w:link w:val="EncabezadoCar"/>
    <w:rsid w:val="00922FD1"/>
    <w:pPr>
      <w:tabs>
        <w:tab w:val="center" w:pos="4252"/>
        <w:tab w:val="right" w:pos="8504"/>
      </w:tabs>
    </w:pPr>
  </w:style>
  <w:style w:type="character" w:styleId="Refdenotaalpie">
    <w:name w:val="footnote reference"/>
    <w:semiHidden/>
    <w:rsid w:val="00922FD1"/>
    <w:rPr>
      <w:rFonts w:cs="Times New Roman"/>
      <w:vertAlign w:val="superscript"/>
    </w:rPr>
  </w:style>
  <w:style w:type="table" w:styleId="Tablaconcuadrcula">
    <w:name w:val="Table Grid"/>
    <w:basedOn w:val="Tablanormal"/>
    <w:rsid w:val="00922FD1"/>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9pt">
    <w:name w:val="Normal + 9 pt"/>
    <w:aliases w:val="Sin Expandido / Comprimido"/>
    <w:basedOn w:val="Textoindependiente"/>
    <w:rsid w:val="00922FD1"/>
    <w:pPr>
      <w:numPr>
        <w:numId w:val="2"/>
      </w:numPr>
    </w:pPr>
    <w:rPr>
      <w:spacing w:val="0"/>
      <w:sz w:val="18"/>
      <w:szCs w:val="18"/>
    </w:rPr>
  </w:style>
  <w:style w:type="paragraph" w:styleId="Textodeglobo">
    <w:name w:val="Balloon Text"/>
    <w:basedOn w:val="Normal"/>
    <w:semiHidden/>
    <w:rsid w:val="00855926"/>
    <w:rPr>
      <w:rFonts w:ascii="Tahoma" w:hAnsi="Tahoma" w:cs="Tahoma"/>
      <w:sz w:val="16"/>
      <w:szCs w:val="16"/>
    </w:rPr>
  </w:style>
  <w:style w:type="character" w:styleId="Refdecomentario">
    <w:name w:val="annotation reference"/>
    <w:semiHidden/>
    <w:rsid w:val="006240B6"/>
    <w:rPr>
      <w:sz w:val="16"/>
      <w:szCs w:val="16"/>
    </w:rPr>
  </w:style>
  <w:style w:type="paragraph" w:styleId="Textocomentario">
    <w:name w:val="annotation text"/>
    <w:basedOn w:val="Normal"/>
    <w:semiHidden/>
    <w:rsid w:val="006240B6"/>
    <w:rPr>
      <w:sz w:val="20"/>
      <w:szCs w:val="20"/>
    </w:rPr>
  </w:style>
  <w:style w:type="paragraph" w:styleId="Asuntodelcomentario">
    <w:name w:val="annotation subject"/>
    <w:basedOn w:val="Textocomentario"/>
    <w:next w:val="Textocomentario"/>
    <w:semiHidden/>
    <w:rsid w:val="006240B6"/>
    <w:rPr>
      <w:b/>
      <w:bCs/>
    </w:rPr>
  </w:style>
  <w:style w:type="character" w:customStyle="1" w:styleId="EncabezadoCar">
    <w:name w:val="Encabezado Car"/>
    <w:basedOn w:val="Fuentedeprrafopredeter"/>
    <w:link w:val="Encabezado"/>
    <w:rsid w:val="008917D2"/>
    <w:rPr>
      <w:rFonts w:ascii="Arial" w:hAnsi="Arial" w:cs="Arial"/>
      <w:spacing w:val="20"/>
      <w:sz w:val="28"/>
      <w:szCs w:val="28"/>
      <w:lang w:val="es-ES" w:eastAsia="es-ES"/>
    </w:rPr>
  </w:style>
  <w:style w:type="paragraph" w:styleId="Prrafodelista">
    <w:name w:val="List Paragraph"/>
    <w:basedOn w:val="Normal"/>
    <w:uiPriority w:val="34"/>
    <w:qFormat/>
    <w:rsid w:val="001625E6"/>
    <w:pPr>
      <w:ind w:left="720"/>
      <w:contextualSpacing/>
    </w:pPr>
  </w:style>
  <w:style w:type="character" w:customStyle="1" w:styleId="PiedepginaCar">
    <w:name w:val="Pie de página Car"/>
    <w:basedOn w:val="Fuentedeprrafopredeter"/>
    <w:link w:val="Piedepgina"/>
    <w:rsid w:val="00DE77A7"/>
    <w:rPr>
      <w:rFonts w:ascii="Arial" w:hAnsi="Arial" w:cs="Arial"/>
      <w:spacing w:val="20"/>
      <w:sz w:val="28"/>
      <w:szCs w:val="28"/>
      <w:lang w:val="es-ES" w:eastAsia="es-ES"/>
    </w:rPr>
  </w:style>
  <w:style w:type="paragraph" w:styleId="Revisin">
    <w:name w:val="Revision"/>
    <w:hidden/>
    <w:uiPriority w:val="99"/>
    <w:semiHidden/>
    <w:rsid w:val="00813A49"/>
    <w:rPr>
      <w:rFonts w:ascii="Arial" w:hAnsi="Arial" w:cs="Arial"/>
      <w:spacing w:val="20"/>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5.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DBEDC471B0D4548B347D6D57CF8C79E" ma:contentTypeVersion="6" ma:contentTypeDescription="Crear nuevo documento." ma:contentTypeScope="" ma:versionID="41f1c5ad44172d33d4f5b7ad88052da1">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e15ff59aca40ced50d27c8ea304ba71c"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E2E17-C96C-4237-B0AC-577E3CB7AA65}">
  <ds:schemaRefs>
    <ds:schemaRef ds:uri="http://schemas.microsoft.com/sharepoint/v3/contenttype/forms"/>
  </ds:schemaRefs>
</ds:datastoreItem>
</file>

<file path=customXml/itemProps2.xml><?xml version="1.0" encoding="utf-8"?>
<ds:datastoreItem xmlns:ds="http://schemas.openxmlformats.org/officeDocument/2006/customXml" ds:itemID="{50CFB155-056A-413C-AF18-5F5C4A5174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A1B0A5-B609-464D-9126-7DC786C3D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4602EA-148E-40D8-8BF4-0EBEBC0C2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13</Pages>
  <Words>8141</Words>
  <Characters>41628</Characters>
  <Application>Microsoft Office Word</Application>
  <DocSecurity>0</DocSecurity>
  <Lines>346</Lines>
  <Paragraphs>99</Paragraphs>
  <ScaleCrop>false</ScaleCrop>
  <HeadingPairs>
    <vt:vector size="2" baseType="variant">
      <vt:variant>
        <vt:lpstr>Título</vt:lpstr>
      </vt:variant>
      <vt:variant>
        <vt:i4>1</vt:i4>
      </vt:variant>
    </vt:vector>
  </HeadingPairs>
  <TitlesOfParts>
    <vt:vector size="1" baseType="lpstr">
      <vt:lpstr>CAPITULO XXI: REGLAS APLICABLES A LA GESTIÓN DE LOS RIESGOS DE MERCADO</vt:lpstr>
    </vt:vector>
  </TitlesOfParts>
  <Company>Superfinanciera</Company>
  <LinksUpToDate>false</LinksUpToDate>
  <CharactersWithSpaces>49670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XXI: REGLAS APLICABLES A LA GESTIÓN DE LOS RIESGOS DE MERCADO</dc:title>
  <dc:subject/>
  <dc:creator>Soporte Técnico</dc:creator>
  <cp:keywords/>
  <cp:lastModifiedBy>Gabriel Armando Ospina Garcia</cp:lastModifiedBy>
  <cp:revision>181</cp:revision>
  <cp:lastPrinted>2017-07-11T20:05:00Z</cp:lastPrinted>
  <dcterms:created xsi:type="dcterms:W3CDTF">2018-10-26T14:48:00Z</dcterms:created>
  <dcterms:modified xsi:type="dcterms:W3CDTF">2021-09-22T14:37:00Z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